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DE9" w:rsidRPr="007A3DE9" w:rsidRDefault="007A3DE9" w:rsidP="007A3DE9">
      <w:pPr>
        <w:jc w:val="center"/>
        <w:rPr>
          <w:rFonts w:ascii="Times New Roman" w:eastAsia="宋体" w:hAnsi="Times New Roman"/>
        </w:rPr>
      </w:pPr>
      <w:r w:rsidRPr="007A3DE9">
        <w:rPr>
          <w:rFonts w:ascii="Times New Roman" w:eastAsia="宋体" w:hAnsi="Times New Roman"/>
        </w:rPr>
        <w:t>水冷壁气化炉与耐火砖气化炉对比</w:t>
      </w:r>
      <w:r w:rsidR="009D5788">
        <w:rPr>
          <w:rFonts w:ascii="Times New Roman" w:eastAsia="宋体" w:hAnsi="Times New Roman" w:hint="eastAsia"/>
        </w:rPr>
        <w:t>系列四</w:t>
      </w:r>
      <w:bookmarkStart w:id="0" w:name="_GoBack"/>
      <w:bookmarkEnd w:id="0"/>
      <w:r w:rsidRPr="007A3DE9">
        <w:rPr>
          <w:rFonts w:ascii="Times New Roman" w:eastAsia="宋体" w:hAnsi="Times New Roman" w:hint="eastAsia"/>
        </w:rPr>
        <w:t>——</w:t>
      </w:r>
      <w:r w:rsidR="003D2182" w:rsidRPr="003D2182">
        <w:rPr>
          <w:rFonts w:ascii="Times New Roman" w:eastAsia="宋体" w:hAnsi="Times New Roman" w:hint="eastAsia"/>
        </w:rPr>
        <w:t>燃烧室渣层分布及散热</w:t>
      </w:r>
    </w:p>
    <w:p w:rsidR="007A3DE9" w:rsidRPr="007A3DE9" w:rsidRDefault="007A3DE9" w:rsidP="007A3DE9">
      <w:pPr>
        <w:jc w:val="center"/>
        <w:rPr>
          <w:rFonts w:ascii="Times New Roman" w:eastAsia="宋体" w:hAnsi="Times New Roman"/>
        </w:rPr>
      </w:pPr>
    </w:p>
    <w:p w:rsidR="007A3DE9" w:rsidRDefault="007A3DE9" w:rsidP="00FD5986">
      <w:pPr>
        <w:jc w:val="left"/>
        <w:rPr>
          <w:rFonts w:ascii="Times New Roman" w:eastAsia="宋体"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22"/>
      </w:tblGrid>
      <w:tr w:rsidR="004C6E6F" w:rsidTr="004C6E6F">
        <w:tc>
          <w:tcPr>
            <w:tcW w:w="8522" w:type="dxa"/>
            <w:shd w:val="clear" w:color="auto" w:fill="D9D9D9" w:themeFill="background1" w:themeFillShade="D9"/>
          </w:tcPr>
          <w:p w:rsidR="00CE669E" w:rsidRDefault="00BB2AEE" w:rsidP="00E63FF9">
            <w:pPr>
              <w:spacing w:beforeLines="50" w:before="156" w:afterLines="50" w:after="156"/>
              <w:jc w:val="left"/>
              <w:rPr>
                <w:rFonts w:ascii="Times New Roman" w:eastAsia="宋体" w:hAnsi="Times New Roman"/>
              </w:rPr>
            </w:pPr>
            <w:r>
              <w:rPr>
                <w:rFonts w:ascii="Times New Roman" w:eastAsia="宋体" w:hAnsi="Times New Roman" w:hint="eastAsia"/>
              </w:rPr>
              <w:t>现代大型煤化工中普遍应用的</w:t>
            </w:r>
            <w:r w:rsidR="005923AD">
              <w:rPr>
                <w:rFonts w:ascii="Times New Roman" w:eastAsia="宋体" w:hAnsi="Times New Roman" w:hint="eastAsia"/>
              </w:rPr>
              <w:t>水煤浆进料</w:t>
            </w:r>
            <w:r w:rsidR="004C6E6F">
              <w:rPr>
                <w:rFonts w:ascii="Times New Roman" w:eastAsia="宋体" w:hAnsi="Times New Roman" w:hint="eastAsia"/>
              </w:rPr>
              <w:t>液态排渣气流床气化炉，</w:t>
            </w:r>
            <w:r w:rsidR="002D7262">
              <w:rPr>
                <w:rFonts w:ascii="Times New Roman" w:eastAsia="宋体" w:hAnsi="Times New Roman" w:hint="eastAsia"/>
              </w:rPr>
              <w:t>根据</w:t>
            </w:r>
            <w:r w:rsidR="00DD07B8">
              <w:rPr>
                <w:rFonts w:ascii="Times New Roman" w:eastAsia="宋体" w:hAnsi="Times New Roman" w:hint="eastAsia"/>
              </w:rPr>
              <w:t>气化炉</w:t>
            </w:r>
            <w:r w:rsidR="002D7262">
              <w:rPr>
                <w:rFonts w:ascii="Times New Roman" w:eastAsia="宋体" w:hAnsi="Times New Roman" w:hint="eastAsia"/>
              </w:rPr>
              <w:t>隔热衬里</w:t>
            </w:r>
            <w:r w:rsidR="007F3E23">
              <w:rPr>
                <w:rFonts w:ascii="Times New Roman" w:eastAsia="宋体" w:hAnsi="Times New Roman" w:hint="eastAsia"/>
              </w:rPr>
              <w:t>的不同</w:t>
            </w:r>
            <w:r w:rsidR="002D7262">
              <w:rPr>
                <w:rFonts w:ascii="Times New Roman" w:eastAsia="宋体" w:hAnsi="Times New Roman" w:hint="eastAsia"/>
              </w:rPr>
              <w:t>分为水冷壁气化炉和耐火砖气化炉</w:t>
            </w:r>
            <w:r w:rsidR="00CE669E">
              <w:rPr>
                <w:rFonts w:ascii="Times New Roman" w:eastAsia="宋体" w:hAnsi="Times New Roman" w:hint="eastAsia"/>
              </w:rPr>
              <w:t>。</w:t>
            </w:r>
            <w:r w:rsidR="007E2066">
              <w:rPr>
                <w:rFonts w:ascii="Times New Roman" w:eastAsia="宋体" w:hAnsi="Times New Roman" w:hint="eastAsia"/>
              </w:rPr>
              <w:t>水冷壁气化炉以废锅流程为主，</w:t>
            </w:r>
            <w:r w:rsidR="008245F9">
              <w:rPr>
                <w:rFonts w:ascii="Times New Roman" w:eastAsia="宋体" w:hAnsi="Times New Roman" w:hint="eastAsia"/>
              </w:rPr>
              <w:t>耐火砖气化炉几乎均为水激冷流程。</w:t>
            </w:r>
            <w:r w:rsidR="00905435">
              <w:rPr>
                <w:rFonts w:ascii="Times New Roman" w:eastAsia="宋体" w:hAnsi="Times New Roman" w:hint="eastAsia"/>
              </w:rPr>
              <w:t>本系列将从不同方面对水冷壁气化炉与耐火砖气化炉进行对比。</w:t>
            </w:r>
          </w:p>
        </w:tc>
      </w:tr>
    </w:tbl>
    <w:p w:rsidR="004C6E6F" w:rsidRPr="008245F9" w:rsidRDefault="004C6E6F" w:rsidP="00FD5986">
      <w:pPr>
        <w:jc w:val="left"/>
        <w:rPr>
          <w:rFonts w:ascii="Times New Roman" w:eastAsia="宋体" w:hAnsi="Times New Roman"/>
        </w:rPr>
      </w:pPr>
    </w:p>
    <w:p w:rsidR="00013681" w:rsidRDefault="009A5A27" w:rsidP="000F6AA7">
      <w:pPr>
        <w:ind w:firstLineChars="200" w:firstLine="420"/>
        <w:jc w:val="left"/>
        <w:rPr>
          <w:rFonts w:ascii="Times New Roman" w:eastAsia="宋体" w:hAnsi="Times New Roman"/>
        </w:rPr>
      </w:pPr>
      <w:r>
        <w:rPr>
          <w:rFonts w:ascii="Times New Roman" w:eastAsia="宋体" w:hAnsi="Times New Roman"/>
        </w:rPr>
        <w:t>在气化炉燃烧室内反应过程中</w:t>
      </w:r>
      <w:r>
        <w:rPr>
          <w:rFonts w:ascii="Times New Roman" w:eastAsia="宋体" w:hAnsi="Times New Roman" w:hint="eastAsia"/>
        </w:rPr>
        <w:t>，</w:t>
      </w:r>
      <w:r w:rsidR="00013681">
        <w:rPr>
          <w:rFonts w:ascii="Times New Roman" w:eastAsia="宋体" w:hAnsi="Times New Roman" w:hint="eastAsia"/>
        </w:rPr>
        <w:t>部分</w:t>
      </w:r>
      <w:r w:rsidR="00013681" w:rsidRPr="00E84338">
        <w:rPr>
          <w:rFonts w:ascii="Times New Roman" w:eastAsia="宋体" w:hAnsi="Times New Roman" w:hint="eastAsia"/>
        </w:rPr>
        <w:t>熔融灰渣颗粒运动到</w:t>
      </w:r>
      <w:r w:rsidR="00013681">
        <w:rPr>
          <w:rFonts w:ascii="Times New Roman" w:eastAsia="宋体" w:hAnsi="Times New Roman" w:hint="eastAsia"/>
        </w:rPr>
        <w:t>炉壁上</w:t>
      </w:r>
      <w:r w:rsidR="00941693">
        <w:rPr>
          <w:rFonts w:ascii="Times New Roman" w:eastAsia="宋体" w:hAnsi="Times New Roman" w:hint="eastAsia"/>
        </w:rPr>
        <w:t>形成渣层，内层灰渣被冷却凝固</w:t>
      </w:r>
      <w:r w:rsidR="00C81042">
        <w:rPr>
          <w:rFonts w:ascii="Times New Roman" w:eastAsia="宋体" w:hAnsi="Times New Roman" w:hint="eastAsia"/>
        </w:rPr>
        <w:t>为固态</w:t>
      </w:r>
      <w:r w:rsidR="00941693">
        <w:rPr>
          <w:rFonts w:ascii="Times New Roman" w:eastAsia="宋体" w:hAnsi="Times New Roman" w:hint="eastAsia"/>
        </w:rPr>
        <w:t>，外层灰渣温度较高熔融流动</w:t>
      </w:r>
      <w:r w:rsidR="00C81042">
        <w:rPr>
          <w:rFonts w:ascii="Times New Roman" w:eastAsia="宋体" w:hAnsi="Times New Roman" w:hint="eastAsia"/>
        </w:rPr>
        <w:t>为液态</w:t>
      </w:r>
      <w:r w:rsidR="00013681" w:rsidRPr="00E84338">
        <w:rPr>
          <w:rFonts w:ascii="Times New Roman" w:eastAsia="宋体" w:hAnsi="Times New Roman" w:hint="eastAsia"/>
        </w:rPr>
        <w:t>。</w:t>
      </w:r>
      <w:r w:rsidR="00013681">
        <w:rPr>
          <w:rFonts w:ascii="Times New Roman" w:eastAsia="宋体" w:hAnsi="Times New Roman" w:hint="eastAsia"/>
        </w:rPr>
        <w:t>水冷壁气化炉和耐火砖气化炉由于隔热衬里的不同，其炉壁上的渣层分布特征是不同的，</w:t>
      </w:r>
      <w:r w:rsidR="00D0761E">
        <w:rPr>
          <w:rFonts w:ascii="Times New Roman" w:eastAsia="宋体" w:hAnsi="Times New Roman" w:hint="eastAsia"/>
        </w:rPr>
        <w:t>使得</w:t>
      </w:r>
      <w:r w:rsidR="00013681">
        <w:rPr>
          <w:rFonts w:ascii="Times New Roman" w:eastAsia="宋体" w:hAnsi="Times New Roman" w:hint="eastAsia"/>
        </w:rPr>
        <w:t>隔热衬里处于不同的工作温度，而且炉壁的吸热量也</w:t>
      </w:r>
      <w:r w:rsidR="00901A46">
        <w:rPr>
          <w:rFonts w:ascii="Times New Roman" w:eastAsia="宋体" w:hAnsi="Times New Roman" w:hint="eastAsia"/>
        </w:rPr>
        <w:t>不同</w:t>
      </w:r>
      <w:r w:rsidR="00013681">
        <w:rPr>
          <w:rFonts w:ascii="Times New Roman" w:eastAsia="宋体" w:hAnsi="Times New Roman" w:hint="eastAsia"/>
        </w:rPr>
        <w:t>。本文将对水冷壁气化炉和耐火砖气化炉的燃烧室渣层分布特征和散热情况进行对比。</w:t>
      </w:r>
    </w:p>
    <w:p w:rsidR="009A5A27" w:rsidRPr="00013681" w:rsidRDefault="009A5A27" w:rsidP="000F6AA7">
      <w:pPr>
        <w:ind w:firstLineChars="200" w:firstLine="420"/>
        <w:jc w:val="left"/>
        <w:rPr>
          <w:rFonts w:ascii="Times New Roman" w:eastAsia="宋体" w:hAnsi="Times New Roman"/>
        </w:rPr>
      </w:pPr>
    </w:p>
    <w:p w:rsidR="00F52961" w:rsidRDefault="00C154CA" w:rsidP="004D43BB">
      <w:pPr>
        <w:ind w:firstLineChars="200" w:firstLine="420"/>
        <w:jc w:val="left"/>
      </w:pPr>
      <w:r>
        <w:rPr>
          <w:rFonts w:ascii="Times New Roman" w:eastAsia="宋体" w:hAnsi="Times New Roman" w:hint="eastAsia"/>
        </w:rPr>
        <w:t>燃烧室炉壁上的熔渣流动特征根据</w:t>
      </w:r>
      <w:r w:rsidRPr="000F6AA7">
        <w:rPr>
          <w:rFonts w:ascii="Times New Roman" w:eastAsia="宋体" w:hAnsi="Times New Roman" w:hint="eastAsia"/>
        </w:rPr>
        <w:t>气化炉</w:t>
      </w:r>
      <w:r w:rsidR="00C8360E">
        <w:rPr>
          <w:rFonts w:ascii="Times New Roman" w:eastAsia="宋体" w:hAnsi="Times New Roman" w:hint="eastAsia"/>
        </w:rPr>
        <w:t>三维流体</w:t>
      </w:r>
      <w:r w:rsidRPr="000F6AA7">
        <w:rPr>
          <w:rFonts w:ascii="Times New Roman" w:eastAsia="宋体" w:hAnsi="Times New Roman" w:hint="eastAsia"/>
        </w:rPr>
        <w:t>模型、颗粒壁面捕捉模型和熔渣一维流动传热模型</w:t>
      </w:r>
      <w:r w:rsidR="00C8360E">
        <w:rPr>
          <w:rFonts w:ascii="Times New Roman" w:eastAsia="宋体" w:hAnsi="Times New Roman" w:hint="eastAsia"/>
        </w:rPr>
        <w:t>耦合</w:t>
      </w:r>
      <w:r>
        <w:rPr>
          <w:rFonts w:ascii="Times New Roman" w:eastAsia="宋体" w:hAnsi="Times New Roman" w:hint="eastAsia"/>
        </w:rPr>
        <w:t>计算获得，</w:t>
      </w:r>
      <w:r w:rsidR="009377A2">
        <w:rPr>
          <w:rFonts w:ascii="Times New Roman" w:eastAsia="宋体" w:hAnsi="Times New Roman" w:hint="eastAsia"/>
        </w:rPr>
        <w:t>具体计算过程参照文献</w:t>
      </w:r>
      <w:r w:rsidR="00FB110F">
        <w:rPr>
          <w:rFonts w:ascii="Times New Roman" w:eastAsia="宋体" w:hAnsi="Times New Roman" w:hint="eastAsia"/>
        </w:rPr>
        <w:t>[1]</w:t>
      </w:r>
      <w:r w:rsidR="000F6AA7" w:rsidRPr="000F6AA7">
        <w:rPr>
          <w:rFonts w:ascii="Times New Roman" w:eastAsia="宋体" w:hAnsi="Times New Roman" w:hint="eastAsia"/>
        </w:rPr>
        <w:t>。</w:t>
      </w:r>
      <w:r w:rsidR="00F52961">
        <w:rPr>
          <w:rFonts w:hint="eastAsia"/>
        </w:rPr>
        <w:t>某相同工况耐火砖气化炉和水冷壁气化炉渣层厚度分布如图</w:t>
      </w:r>
      <w:r w:rsidR="00F52961" w:rsidRPr="00F52961">
        <w:rPr>
          <w:rFonts w:ascii="Times New Roman" w:hAnsi="Times New Roman" w:cs="Times New Roman"/>
        </w:rPr>
        <w:t>1</w:t>
      </w:r>
      <w:r w:rsidR="00F52961">
        <w:rPr>
          <w:rFonts w:hint="eastAsia"/>
        </w:rPr>
        <w:t>所示，</w:t>
      </w:r>
      <w:r w:rsidR="005867D8">
        <w:rPr>
          <w:rFonts w:hint="eastAsia"/>
        </w:rPr>
        <w:t>耐火砖气化炉</w:t>
      </w:r>
      <w:r w:rsidR="00E25854">
        <w:rPr>
          <w:rFonts w:hint="eastAsia"/>
        </w:rPr>
        <w:t>渣层总厚度约为</w:t>
      </w:r>
      <w:r w:rsidR="00E25854" w:rsidRPr="00E25854">
        <w:rPr>
          <w:rFonts w:ascii="Times New Roman" w:hAnsi="Times New Roman" w:cs="Times New Roman"/>
        </w:rPr>
        <w:t>1cm</w:t>
      </w:r>
      <w:r w:rsidR="00E25854">
        <w:rPr>
          <w:rFonts w:hint="eastAsia"/>
        </w:rPr>
        <w:t>，几乎没有固态渣层，只有液态渣层存在；水冷壁气化炉渣层总厚度可达约</w:t>
      </w:r>
      <w:r w:rsidR="00E25854" w:rsidRPr="00E25854">
        <w:rPr>
          <w:rFonts w:ascii="Times New Roman" w:hAnsi="Times New Roman" w:cs="Times New Roman" w:hint="eastAsia"/>
        </w:rPr>
        <w:t>3~6cm</w:t>
      </w:r>
      <w:r w:rsidR="00E25854">
        <w:rPr>
          <w:rFonts w:ascii="Times New Roman" w:hAnsi="Times New Roman" w:cs="Times New Roman" w:hint="eastAsia"/>
        </w:rPr>
        <w:t>，</w:t>
      </w:r>
      <w:r w:rsidR="00F52961">
        <w:rPr>
          <w:rFonts w:hint="eastAsia"/>
        </w:rPr>
        <w:t>固态、液态渣层共存，</w:t>
      </w:r>
      <w:r w:rsidR="00E25854">
        <w:rPr>
          <w:rFonts w:hint="eastAsia"/>
        </w:rPr>
        <w:t>而且固态渣层厚度略大于液态渣层厚度。</w:t>
      </w:r>
    </w:p>
    <w:p w:rsidR="005B7016" w:rsidRDefault="005B7016" w:rsidP="004D43BB">
      <w:pPr>
        <w:ind w:firstLineChars="200" w:firstLine="420"/>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237"/>
      </w:tblGrid>
      <w:tr w:rsidR="00F52961" w:rsidTr="004D43BB">
        <w:tc>
          <w:tcPr>
            <w:tcW w:w="4285" w:type="dxa"/>
            <w:vAlign w:val="center"/>
          </w:tcPr>
          <w:p w:rsidR="00F52961" w:rsidRDefault="00F52961" w:rsidP="00F52961">
            <w:pPr>
              <w:pStyle w:val="-"/>
            </w:pPr>
            <w:r w:rsidRPr="002236C2">
              <w:rPr>
                <w:noProof/>
              </w:rPr>
              <w:drawing>
                <wp:inline distT="0" distB="0" distL="0" distR="0" wp14:anchorId="0055C2BB" wp14:editId="751C368E">
                  <wp:extent cx="2520000" cy="2037600"/>
                  <wp:effectExtent l="0" t="0" r="0" b="1270"/>
                  <wp:docPr id="63" name="图片 1" descr="Graph21-耐火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 name="图片 5" descr="Graph21-耐火砖.png"/>
                          <pic:cNvPicPr>
                            <a:picLocks noChangeAspect="1"/>
                          </pic:cNvPicPr>
                        </pic:nvPicPr>
                        <pic:blipFill>
                          <a:blip r:embed="rId6"/>
                          <a:srcRect/>
                          <a:stretch>
                            <a:fillRect/>
                          </a:stretch>
                        </pic:blipFill>
                        <pic:spPr bwMode="auto">
                          <a:xfrm>
                            <a:off x="0" y="0"/>
                            <a:ext cx="2520000" cy="2037600"/>
                          </a:xfrm>
                          <a:prstGeom prst="rect">
                            <a:avLst/>
                          </a:prstGeom>
                          <a:noFill/>
                          <a:ln w="9525">
                            <a:noFill/>
                            <a:miter lim="800000"/>
                            <a:headEnd/>
                            <a:tailEnd/>
                          </a:ln>
                        </pic:spPr>
                      </pic:pic>
                    </a:graphicData>
                  </a:graphic>
                </wp:inline>
              </w:drawing>
            </w:r>
          </w:p>
        </w:tc>
        <w:tc>
          <w:tcPr>
            <w:tcW w:w="4237" w:type="dxa"/>
            <w:vAlign w:val="center"/>
          </w:tcPr>
          <w:p w:rsidR="00F52961" w:rsidRDefault="00F52961" w:rsidP="00F52961">
            <w:pPr>
              <w:pStyle w:val="-"/>
            </w:pPr>
            <w:r w:rsidRPr="002236C2">
              <w:rPr>
                <w:noProof/>
              </w:rPr>
              <w:drawing>
                <wp:inline distT="0" distB="0" distL="0" distR="0" wp14:anchorId="5665CF63" wp14:editId="1AD1DD1D">
                  <wp:extent cx="2448000" cy="2049327"/>
                  <wp:effectExtent l="0" t="0" r="0" b="8255"/>
                  <wp:docPr id="288" name="图片 2" descr="Graph22-水冷壁炉渣层结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1" name="图片 11" descr="Graph22-水冷壁炉渣层结构.png"/>
                          <pic:cNvPicPr>
                            <a:picLocks noChangeAspect="1"/>
                          </pic:cNvPicPr>
                        </pic:nvPicPr>
                        <pic:blipFill>
                          <a:blip r:embed="rId7"/>
                          <a:srcRect/>
                          <a:stretch>
                            <a:fillRect/>
                          </a:stretch>
                        </pic:blipFill>
                        <pic:spPr bwMode="auto">
                          <a:xfrm>
                            <a:off x="0" y="0"/>
                            <a:ext cx="2448000" cy="2049327"/>
                          </a:xfrm>
                          <a:prstGeom prst="rect">
                            <a:avLst/>
                          </a:prstGeom>
                          <a:noFill/>
                          <a:ln w="9525">
                            <a:noFill/>
                            <a:miter lim="800000"/>
                            <a:headEnd/>
                            <a:tailEnd/>
                          </a:ln>
                        </pic:spPr>
                      </pic:pic>
                    </a:graphicData>
                  </a:graphic>
                </wp:inline>
              </w:drawing>
            </w:r>
          </w:p>
        </w:tc>
      </w:tr>
      <w:tr w:rsidR="004D43BB" w:rsidTr="00BA78EC">
        <w:tc>
          <w:tcPr>
            <w:tcW w:w="8522" w:type="dxa"/>
            <w:gridSpan w:val="2"/>
            <w:vAlign w:val="center"/>
          </w:tcPr>
          <w:p w:rsidR="004D43BB" w:rsidRPr="005B7016" w:rsidRDefault="004D43BB" w:rsidP="004D43BB">
            <w:pPr>
              <w:pStyle w:val="-"/>
              <w:rPr>
                <w:sz w:val="21"/>
                <w:szCs w:val="21"/>
              </w:rPr>
            </w:pPr>
            <w:bookmarkStart w:id="1" w:name="_Ref384925371"/>
            <w:r w:rsidRPr="005B7016">
              <w:rPr>
                <w:rFonts w:hint="eastAsia"/>
                <w:sz w:val="21"/>
                <w:szCs w:val="21"/>
              </w:rPr>
              <w:t>图</w:t>
            </w:r>
            <w:bookmarkEnd w:id="1"/>
            <w:r w:rsidRPr="005B7016">
              <w:rPr>
                <w:rFonts w:hint="eastAsia"/>
                <w:sz w:val="21"/>
                <w:szCs w:val="21"/>
              </w:rPr>
              <w:t xml:space="preserve">1  </w:t>
            </w:r>
            <w:r w:rsidRPr="005B7016">
              <w:rPr>
                <w:rFonts w:hint="eastAsia"/>
                <w:sz w:val="21"/>
                <w:szCs w:val="21"/>
              </w:rPr>
              <w:t>渣层厚度随高度变化（左：耐火砖气化炉；右：水冷壁气化炉）</w:t>
            </w:r>
          </w:p>
        </w:tc>
      </w:tr>
    </w:tbl>
    <w:p w:rsidR="00F07EA8" w:rsidRDefault="006A09B9" w:rsidP="00467982">
      <w:pPr>
        <w:ind w:firstLineChars="200" w:firstLine="420"/>
        <w:jc w:val="left"/>
      </w:pPr>
      <w:r>
        <w:rPr>
          <w:rFonts w:ascii="Times New Roman" w:eastAsia="宋体" w:hAnsi="Times New Roman" w:hint="eastAsia"/>
        </w:rPr>
        <w:t>进一步分析炉壁传热时的热阻分布</w:t>
      </w:r>
      <w:r w:rsidR="00C929DA">
        <w:rPr>
          <w:rFonts w:ascii="Times New Roman" w:eastAsia="宋体" w:hAnsi="Times New Roman" w:hint="eastAsia"/>
        </w:rPr>
        <w:t>，</w:t>
      </w:r>
      <w:r w:rsidR="00C929DA">
        <w:rPr>
          <w:rFonts w:hint="eastAsia"/>
        </w:rPr>
        <w:t>根据工况和高度的不同，水冷壁炉内渣层厚度变化范围可从约</w:t>
      </w:r>
      <w:r w:rsidR="00C929DA">
        <w:rPr>
          <w:rFonts w:hint="eastAsia"/>
        </w:rPr>
        <w:t>1cm-10cm</w:t>
      </w:r>
      <w:r w:rsidR="00C929DA">
        <w:rPr>
          <w:rFonts w:hint="eastAsia"/>
        </w:rPr>
        <w:t>，</w:t>
      </w:r>
      <w:r w:rsidR="00467982">
        <w:rPr>
          <w:rFonts w:hint="eastAsia"/>
        </w:rPr>
        <w:t>其炉壁传热的热阻主要为渣层导热热阻</w:t>
      </w:r>
      <w:r w:rsidR="00C929DA">
        <w:rPr>
          <w:rFonts w:hint="eastAsia"/>
        </w:rPr>
        <w:t>；而仅存在液相渣层的耐火砖气化炉，其渣层厚度从数毫米变化至约</w:t>
      </w:r>
      <w:r w:rsidR="00C929DA">
        <w:rPr>
          <w:rFonts w:hint="eastAsia"/>
        </w:rPr>
        <w:t>1cm</w:t>
      </w:r>
      <w:r w:rsidR="00C929DA">
        <w:rPr>
          <w:rFonts w:hint="eastAsia"/>
        </w:rPr>
        <w:t>，渣层的导热热阻</w:t>
      </w:r>
      <w:r w:rsidR="00C8360E">
        <w:rPr>
          <w:rFonts w:hint="eastAsia"/>
        </w:rPr>
        <w:t>较小，其炉壁传热的热阻主要为</w:t>
      </w:r>
      <w:r w:rsidR="00C929DA">
        <w:rPr>
          <w:rFonts w:hint="eastAsia"/>
        </w:rPr>
        <w:t>耐火砖层</w:t>
      </w:r>
      <w:r w:rsidR="00467982">
        <w:rPr>
          <w:rFonts w:hint="eastAsia"/>
        </w:rPr>
        <w:t>导热热阻</w:t>
      </w:r>
      <w:r w:rsidR="00C929DA">
        <w:rPr>
          <w:rFonts w:hint="eastAsia"/>
        </w:rPr>
        <w:t>和外壁面的自然对流热阻。</w:t>
      </w:r>
      <w:r w:rsidR="00467982">
        <w:rPr>
          <w:rFonts w:hint="eastAsia"/>
        </w:rPr>
        <w:t>炉壁传热热阻主要来源见图</w:t>
      </w:r>
      <w:r w:rsidR="00467982">
        <w:rPr>
          <w:rFonts w:hint="eastAsia"/>
        </w:rPr>
        <w:t>2</w:t>
      </w:r>
      <w:r w:rsidR="00467982">
        <w:rPr>
          <w:rFonts w:hint="eastAsia"/>
        </w:rPr>
        <w:t>黑色部分。</w:t>
      </w:r>
    </w:p>
    <w:p w:rsidR="00F07EA8" w:rsidRDefault="00F07EA8" w:rsidP="00467982">
      <w:pPr>
        <w:ind w:firstLineChars="200" w:firstLine="420"/>
        <w:jc w:val="left"/>
      </w:pPr>
    </w:p>
    <w:p w:rsidR="00F52961" w:rsidRDefault="00C8360E" w:rsidP="00467982">
      <w:pPr>
        <w:ind w:firstLineChars="200" w:firstLine="420"/>
        <w:jc w:val="left"/>
      </w:pPr>
      <w:r>
        <w:rPr>
          <w:rFonts w:hint="eastAsia"/>
        </w:rPr>
        <w:t>此外</w:t>
      </w:r>
      <w:r w:rsidR="00F52961">
        <w:rPr>
          <w:rFonts w:hint="eastAsia"/>
        </w:rPr>
        <w:t>，水冷壁炉炉壁热阻</w:t>
      </w:r>
      <w:r w:rsidR="00CF7863">
        <w:rPr>
          <w:rFonts w:hint="eastAsia"/>
        </w:rPr>
        <w:t>（图</w:t>
      </w:r>
      <w:r w:rsidR="00CF7863">
        <w:rPr>
          <w:rFonts w:hint="eastAsia"/>
        </w:rPr>
        <w:t>2</w:t>
      </w:r>
      <w:r w:rsidR="00CF7863">
        <w:rPr>
          <w:rFonts w:hint="eastAsia"/>
        </w:rPr>
        <w:t>虚线框内部分）</w:t>
      </w:r>
      <w:r w:rsidR="00F52961">
        <w:rPr>
          <w:rFonts w:hint="eastAsia"/>
        </w:rPr>
        <w:t>远小于耐火砖炉，水冷壁炉内从工质水侧到碳化硅内表面的温升小于耐火砖炉金属壁面到耐火砖层内表面的温升，碳化硅表层温度</w:t>
      </w:r>
      <w:r w:rsidR="00467982">
        <w:rPr>
          <w:rFonts w:hint="eastAsia"/>
        </w:rPr>
        <w:t>远</w:t>
      </w:r>
      <w:r w:rsidR="00F52961">
        <w:rPr>
          <w:rFonts w:hint="eastAsia"/>
        </w:rPr>
        <w:t>低于灰渣熔融温度</w:t>
      </w:r>
      <w:r w:rsidR="00CF7863">
        <w:rPr>
          <w:rFonts w:hint="eastAsia"/>
        </w:rPr>
        <w:t>（只有约</w:t>
      </w:r>
      <w:r w:rsidR="00CF7863">
        <w:rPr>
          <w:rFonts w:hint="eastAsia"/>
        </w:rPr>
        <w:t>380</w:t>
      </w:r>
      <w:r w:rsidR="00CF7863">
        <w:rPr>
          <w:rFonts w:hint="eastAsia"/>
        </w:rPr>
        <w:t>℃，见图</w:t>
      </w:r>
      <w:r w:rsidR="00CF7863">
        <w:rPr>
          <w:rFonts w:hint="eastAsia"/>
        </w:rPr>
        <w:t>3</w:t>
      </w:r>
      <w:r w:rsidR="00CF7863">
        <w:rPr>
          <w:rFonts w:hint="eastAsia"/>
        </w:rPr>
        <w:t>），</w:t>
      </w:r>
      <w:r w:rsidR="00F52961">
        <w:rPr>
          <w:rFonts w:hint="eastAsia"/>
        </w:rPr>
        <w:t>有利于固态渣层的形成，起到“以渣抗渣”的作用</w:t>
      </w:r>
      <w:r w:rsidR="00294679">
        <w:rPr>
          <w:rFonts w:hint="eastAsia"/>
        </w:rPr>
        <w:t>。</w:t>
      </w:r>
      <w:r w:rsidR="00F52961">
        <w:rPr>
          <w:rFonts w:hint="eastAsia"/>
        </w:rPr>
        <w:t>而耐火砖表面温度高于熔融温度，从而无法形成固态渣层</w:t>
      </w:r>
      <w:r w:rsidR="00294679">
        <w:rPr>
          <w:rFonts w:hint="eastAsia"/>
        </w:rPr>
        <w:t>，耐火砖处于较高的工作温度，直接受液态渣层的冲刷和侵蚀，使用寿命受到较大影响</w:t>
      </w:r>
      <w:r w:rsidR="00F52961">
        <w:rPr>
          <w:rFonts w:hint="eastAsia"/>
        </w:rPr>
        <w:t>。</w:t>
      </w:r>
    </w:p>
    <w:p w:rsidR="00F52961" w:rsidRPr="00321947" w:rsidRDefault="00F52961" w:rsidP="00F52961">
      <w:pPr>
        <w:ind w:firstLine="520"/>
      </w:pPr>
    </w:p>
    <w:p w:rsidR="00F52961" w:rsidRDefault="00F52961" w:rsidP="00F52961">
      <w:pPr>
        <w:pStyle w:val="-"/>
      </w:pPr>
      <w:r>
        <w:rPr>
          <w:noProof/>
        </w:rPr>
        <w:drawing>
          <wp:inline distT="0" distB="0" distL="0" distR="0" wp14:anchorId="7ABA4E3D" wp14:editId="5858641C">
            <wp:extent cx="4320000" cy="1738871"/>
            <wp:effectExtent l="0" t="0" r="4445" b="0"/>
            <wp:docPr id="289" name="图片 129" descr="水冷壁炉、耐火砖炉热阻量级比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水冷壁炉、耐火砖炉热阻量级比较"/>
                    <pic:cNvPicPr>
                      <a:picLocks noChangeAspect="1" noChangeArrowheads="1"/>
                    </pic:cNvPicPr>
                  </pic:nvPicPr>
                  <pic:blipFill>
                    <a:blip r:embed="rId8"/>
                    <a:srcRect/>
                    <a:stretch>
                      <a:fillRect/>
                    </a:stretch>
                  </pic:blipFill>
                  <pic:spPr bwMode="auto">
                    <a:xfrm>
                      <a:off x="0" y="0"/>
                      <a:ext cx="4320000" cy="1738871"/>
                    </a:xfrm>
                    <a:prstGeom prst="rect">
                      <a:avLst/>
                    </a:prstGeom>
                    <a:noFill/>
                    <a:ln w="9525">
                      <a:noFill/>
                      <a:miter lim="800000"/>
                      <a:headEnd/>
                      <a:tailEnd/>
                    </a:ln>
                  </pic:spPr>
                </pic:pic>
              </a:graphicData>
            </a:graphic>
          </wp:inline>
        </w:drawing>
      </w:r>
    </w:p>
    <w:p w:rsidR="00F52961" w:rsidRPr="00056207" w:rsidRDefault="00F52961" w:rsidP="00F52961">
      <w:pPr>
        <w:pStyle w:val="-"/>
        <w:rPr>
          <w:sz w:val="21"/>
          <w:szCs w:val="21"/>
        </w:rPr>
      </w:pPr>
      <w:bookmarkStart w:id="2" w:name="_Ref384925668"/>
      <w:r w:rsidRPr="00056207">
        <w:rPr>
          <w:rFonts w:hint="eastAsia"/>
          <w:sz w:val="21"/>
          <w:szCs w:val="21"/>
        </w:rPr>
        <w:t>图</w:t>
      </w:r>
      <w:bookmarkEnd w:id="2"/>
      <w:r w:rsidR="00056207">
        <w:rPr>
          <w:rFonts w:hint="eastAsia"/>
          <w:sz w:val="21"/>
          <w:szCs w:val="21"/>
        </w:rPr>
        <w:t xml:space="preserve">2  </w:t>
      </w:r>
      <w:r w:rsidR="007B7975">
        <w:rPr>
          <w:rFonts w:hint="eastAsia"/>
          <w:sz w:val="21"/>
          <w:szCs w:val="21"/>
        </w:rPr>
        <w:t>炉壁传热</w:t>
      </w:r>
      <w:r w:rsidRPr="00056207">
        <w:rPr>
          <w:rFonts w:hint="eastAsia"/>
          <w:sz w:val="21"/>
          <w:szCs w:val="21"/>
        </w:rPr>
        <w:t>热阻</w:t>
      </w:r>
      <w:r w:rsidR="006A09B9">
        <w:rPr>
          <w:rFonts w:hint="eastAsia"/>
          <w:sz w:val="21"/>
          <w:szCs w:val="21"/>
        </w:rPr>
        <w:t>分布</w:t>
      </w:r>
      <w:r w:rsidRPr="00056207">
        <w:rPr>
          <w:sz w:val="21"/>
          <w:szCs w:val="21"/>
        </w:rPr>
        <w:t>(</w:t>
      </w:r>
      <w:r w:rsidRPr="00056207">
        <w:rPr>
          <w:rFonts w:hint="eastAsia"/>
          <w:sz w:val="21"/>
          <w:szCs w:val="21"/>
        </w:rPr>
        <w:t>m</w:t>
      </w:r>
      <w:r w:rsidRPr="007B7975">
        <w:rPr>
          <w:rFonts w:hint="eastAsia"/>
          <w:sz w:val="21"/>
          <w:szCs w:val="21"/>
          <w:vertAlign w:val="superscript"/>
        </w:rPr>
        <w:t>2</w:t>
      </w:r>
      <w:r w:rsidRPr="00056207">
        <w:rPr>
          <w:rFonts w:hint="eastAsia"/>
          <w:sz w:val="21"/>
          <w:szCs w:val="21"/>
        </w:rPr>
        <w:t>K/W</w:t>
      </w:r>
      <w:r w:rsidRPr="00056207">
        <w:rPr>
          <w:sz w:val="21"/>
          <w:szCs w:val="21"/>
        </w:rPr>
        <w:t>)</w:t>
      </w:r>
    </w:p>
    <w:p w:rsidR="00467982" w:rsidRDefault="00467982" w:rsidP="00467982"/>
    <w:p w:rsidR="00467982" w:rsidRDefault="00467982" w:rsidP="00467982">
      <w:pPr>
        <w:jc w:val="center"/>
      </w:pPr>
      <w:r>
        <w:rPr>
          <w:noProof/>
        </w:rPr>
        <w:drawing>
          <wp:inline distT="0" distB="0" distL="0" distR="0" wp14:anchorId="52055A04" wp14:editId="325B2F1C">
            <wp:extent cx="2872740" cy="2122170"/>
            <wp:effectExtent l="19050" t="0" r="3810" b="0"/>
            <wp:docPr id="6" name="图片 123" descr="Graph9-主要节点温度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Graph9-主要节点温度变化"/>
                    <pic:cNvPicPr>
                      <a:picLocks noChangeAspect="1" noChangeArrowheads="1"/>
                    </pic:cNvPicPr>
                  </pic:nvPicPr>
                  <pic:blipFill>
                    <a:blip r:embed="rId9"/>
                    <a:srcRect/>
                    <a:stretch>
                      <a:fillRect/>
                    </a:stretch>
                  </pic:blipFill>
                  <pic:spPr bwMode="auto">
                    <a:xfrm>
                      <a:off x="0" y="0"/>
                      <a:ext cx="2872740" cy="2122170"/>
                    </a:xfrm>
                    <a:prstGeom prst="rect">
                      <a:avLst/>
                    </a:prstGeom>
                    <a:noFill/>
                    <a:ln w="9525">
                      <a:noFill/>
                      <a:miter lim="800000"/>
                      <a:headEnd/>
                      <a:tailEnd/>
                    </a:ln>
                  </pic:spPr>
                </pic:pic>
              </a:graphicData>
            </a:graphic>
          </wp:inline>
        </w:drawing>
      </w:r>
    </w:p>
    <w:p w:rsidR="00467982" w:rsidRPr="00056207" w:rsidRDefault="00467982" w:rsidP="00467982">
      <w:pPr>
        <w:pStyle w:val="-"/>
        <w:ind w:firstLine="460"/>
        <w:rPr>
          <w:sz w:val="21"/>
          <w:szCs w:val="21"/>
        </w:rPr>
      </w:pPr>
      <w:r w:rsidRPr="00056207">
        <w:rPr>
          <w:rFonts w:hint="eastAsia"/>
          <w:sz w:val="21"/>
          <w:szCs w:val="21"/>
        </w:rPr>
        <w:t>图</w:t>
      </w:r>
      <w:r>
        <w:rPr>
          <w:rFonts w:hint="eastAsia"/>
          <w:sz w:val="21"/>
          <w:szCs w:val="21"/>
        </w:rPr>
        <w:t xml:space="preserve">3  </w:t>
      </w:r>
      <w:r w:rsidR="00F57971">
        <w:rPr>
          <w:rFonts w:hint="eastAsia"/>
          <w:sz w:val="21"/>
          <w:szCs w:val="21"/>
        </w:rPr>
        <w:t>水冷壁气化炉</w:t>
      </w:r>
      <w:r w:rsidR="00F57971">
        <w:rPr>
          <w:rFonts w:hint="eastAsia"/>
        </w:rPr>
        <w:t>炉壁温度分布</w:t>
      </w:r>
    </w:p>
    <w:p w:rsidR="00467982" w:rsidRPr="00467982" w:rsidRDefault="00467982" w:rsidP="00467982">
      <w:pPr>
        <w:jc w:val="center"/>
      </w:pPr>
    </w:p>
    <w:p w:rsidR="00E00CEF" w:rsidRDefault="006F0B1B" w:rsidP="00082D79">
      <w:pPr>
        <w:ind w:firstLineChars="200" w:firstLine="420"/>
        <w:jc w:val="left"/>
        <w:rPr>
          <w:rFonts w:ascii="Times New Roman" w:eastAsia="宋体" w:hAnsi="Times New Roman"/>
        </w:rPr>
      </w:pPr>
      <w:r>
        <w:rPr>
          <w:rFonts w:ascii="Times New Roman" w:eastAsia="宋体" w:hAnsi="Times New Roman" w:hint="eastAsia"/>
        </w:rPr>
        <w:t>水冷壁气化炉高热阻渣层的隔热作用使得水冷壁的吸热量大大降低。气化炉正常运行时，固态和液态渣层同时存在，</w:t>
      </w:r>
      <w:r w:rsidR="00365339">
        <w:rPr>
          <w:rFonts w:ascii="Times New Roman" w:eastAsia="宋体" w:hAnsi="Times New Roman" w:hint="eastAsia"/>
        </w:rPr>
        <w:t>灰渣层为稀疏多孔结构，特别是液态熔渣在流动过程中夹带了大量气泡</w:t>
      </w:r>
      <w:r w:rsidR="00365339">
        <w:rPr>
          <w:rFonts w:ascii="Times New Roman" w:eastAsia="宋体" w:hAnsi="Times New Roman" w:hint="eastAsia"/>
        </w:rPr>
        <w:t>[2]</w:t>
      </w:r>
      <w:r w:rsidR="00365339">
        <w:rPr>
          <w:rFonts w:ascii="Times New Roman" w:eastAsia="宋体" w:hAnsi="Times New Roman" w:hint="eastAsia"/>
        </w:rPr>
        <w:t>，使得液态渣层导热系数急剧下降，</w:t>
      </w:r>
      <w:r>
        <w:rPr>
          <w:rFonts w:ascii="Times New Roman" w:eastAsia="宋体" w:hAnsi="Times New Roman" w:hint="eastAsia"/>
        </w:rPr>
        <w:t>水冷壁蒸汽产量只有约</w:t>
      </w:r>
      <w:r>
        <w:rPr>
          <w:rFonts w:ascii="Times New Roman" w:eastAsia="宋体" w:hAnsi="Times New Roman" w:hint="eastAsia"/>
        </w:rPr>
        <w:t>2t/h</w:t>
      </w:r>
      <w:r w:rsidR="00365339">
        <w:rPr>
          <w:rFonts w:ascii="Times New Roman" w:eastAsia="宋体" w:hAnsi="Times New Roman" w:hint="eastAsia"/>
        </w:rPr>
        <w:t>。在气化炉停炉后，炉壁上的渣层失去了灰渣的补充，随着液态渣的流失和凝固，渣层厚度下降，待</w:t>
      </w:r>
      <w:r>
        <w:rPr>
          <w:rFonts w:ascii="Times New Roman" w:eastAsia="宋体" w:hAnsi="Times New Roman" w:hint="eastAsia"/>
        </w:rPr>
        <w:t>气化炉烘炉时，只有固态渣层存在，水冷壁蒸汽产量最大可达</w:t>
      </w:r>
      <w:r>
        <w:rPr>
          <w:rFonts w:ascii="Times New Roman" w:eastAsia="宋体" w:hAnsi="Times New Roman" w:hint="eastAsia"/>
        </w:rPr>
        <w:t>13t/h</w:t>
      </w:r>
      <w:r>
        <w:rPr>
          <w:rFonts w:ascii="Times New Roman" w:eastAsia="宋体" w:hAnsi="Times New Roman" w:hint="eastAsia"/>
        </w:rPr>
        <w:t>。</w:t>
      </w:r>
    </w:p>
    <w:p w:rsidR="00365339" w:rsidRDefault="00365339" w:rsidP="007F6D87">
      <w:pPr>
        <w:ind w:firstLineChars="200" w:firstLine="420"/>
        <w:jc w:val="left"/>
        <w:rPr>
          <w:rFonts w:ascii="Times New Roman" w:eastAsia="宋体" w:hAnsi="Times New Roman"/>
        </w:rPr>
      </w:pPr>
    </w:p>
    <w:p w:rsidR="004C6E6F" w:rsidRDefault="000F2091" w:rsidP="007F6D87">
      <w:pPr>
        <w:ind w:firstLineChars="200" w:firstLine="420"/>
        <w:jc w:val="left"/>
        <w:rPr>
          <w:rFonts w:ascii="Times New Roman" w:eastAsia="宋体" w:hAnsi="Times New Roman"/>
        </w:rPr>
      </w:pPr>
      <w:r>
        <w:rPr>
          <w:rFonts w:ascii="Times New Roman" w:eastAsia="宋体" w:hAnsi="Times New Roman" w:hint="eastAsia"/>
        </w:rPr>
        <w:t>气化炉燃烧室内的热量通过炉壁传递给水冷壁管内的工质或者外界大气，从而发生散热损失。</w:t>
      </w:r>
      <w:r w:rsidR="007F6D87" w:rsidRPr="007F6D87">
        <w:rPr>
          <w:rFonts w:ascii="Times New Roman" w:eastAsia="宋体" w:hAnsi="Times New Roman" w:hint="eastAsia"/>
        </w:rPr>
        <w:t>对于耐火砖气化炉，散热损失主要是通过气化炉外壳向</w:t>
      </w:r>
      <w:r>
        <w:rPr>
          <w:rFonts w:ascii="Times New Roman" w:eastAsia="宋体" w:hAnsi="Times New Roman" w:hint="eastAsia"/>
        </w:rPr>
        <w:t>大气</w:t>
      </w:r>
      <w:r w:rsidR="007F6D87" w:rsidRPr="007F6D87">
        <w:rPr>
          <w:rFonts w:ascii="Times New Roman" w:eastAsia="宋体" w:hAnsi="Times New Roman" w:hint="eastAsia"/>
        </w:rPr>
        <w:t>的散热损失。对于水冷壁气化炉，气化炉的散热损失还包括水冷壁吸热损失。</w:t>
      </w:r>
    </w:p>
    <w:p w:rsidR="000F2091" w:rsidRDefault="000F2091" w:rsidP="007F6D87">
      <w:pPr>
        <w:ind w:firstLineChars="200" w:firstLine="420"/>
        <w:jc w:val="left"/>
        <w:rPr>
          <w:rFonts w:ascii="Times New Roman" w:eastAsia="宋体" w:hAnsi="Times New Roman"/>
        </w:rPr>
      </w:pPr>
    </w:p>
    <w:p w:rsidR="000F2091" w:rsidRDefault="000F2091" w:rsidP="00D64395">
      <w:pPr>
        <w:ind w:firstLineChars="200" w:firstLine="420"/>
        <w:jc w:val="left"/>
        <w:rPr>
          <w:rFonts w:ascii="Times New Roman" w:eastAsia="宋体" w:hAnsi="Times New Roman"/>
        </w:rPr>
      </w:pPr>
      <w:r>
        <w:rPr>
          <w:rFonts w:ascii="Times New Roman" w:eastAsia="宋体" w:hAnsi="Times New Roman" w:hint="eastAsia"/>
        </w:rPr>
        <w:t>以投煤量</w:t>
      </w:r>
      <w:r>
        <w:rPr>
          <w:rFonts w:ascii="Times New Roman" w:eastAsia="宋体" w:hAnsi="Times New Roman" w:hint="eastAsia"/>
        </w:rPr>
        <w:t>1373t/d</w:t>
      </w:r>
      <w:r>
        <w:rPr>
          <w:rFonts w:ascii="Times New Roman" w:eastAsia="宋体" w:hAnsi="Times New Roman" w:hint="eastAsia"/>
        </w:rPr>
        <w:t>气化炉为例，</w:t>
      </w:r>
      <w:r w:rsidR="008D774E">
        <w:rPr>
          <w:rFonts w:ascii="Times New Roman" w:eastAsia="宋体" w:hAnsi="Times New Roman" w:hint="eastAsia"/>
        </w:rPr>
        <w:t>耐火砖气化炉外壳温度</w:t>
      </w:r>
      <w:r w:rsidR="008D774E">
        <w:rPr>
          <w:rFonts w:ascii="Times New Roman" w:eastAsia="宋体" w:hAnsi="Times New Roman" w:hint="eastAsia"/>
        </w:rPr>
        <w:t>225</w:t>
      </w:r>
      <w:r w:rsidR="008D774E">
        <w:rPr>
          <w:rFonts w:ascii="Times New Roman" w:eastAsia="宋体" w:hAnsi="Times New Roman" w:hint="eastAsia"/>
        </w:rPr>
        <w:t>℃，水冷壁气化炉外壳温度</w:t>
      </w:r>
      <w:r w:rsidR="008D774E">
        <w:rPr>
          <w:rFonts w:ascii="Times New Roman" w:eastAsia="宋体" w:hAnsi="Times New Roman" w:hint="eastAsia"/>
        </w:rPr>
        <w:t>104</w:t>
      </w:r>
      <w:r w:rsidR="008D774E">
        <w:rPr>
          <w:rFonts w:ascii="Times New Roman" w:eastAsia="宋体" w:hAnsi="Times New Roman" w:hint="eastAsia"/>
        </w:rPr>
        <w:t>℃，如图</w:t>
      </w:r>
      <w:r w:rsidR="008D774E">
        <w:rPr>
          <w:rFonts w:ascii="Times New Roman" w:eastAsia="宋体" w:hAnsi="Times New Roman" w:hint="eastAsia"/>
        </w:rPr>
        <w:t>4</w:t>
      </w:r>
      <w:r w:rsidR="008D774E">
        <w:rPr>
          <w:rFonts w:ascii="Times New Roman" w:eastAsia="宋体" w:hAnsi="Times New Roman" w:hint="eastAsia"/>
        </w:rPr>
        <w:t>所示</w:t>
      </w:r>
      <w:r w:rsidR="005E4FF9">
        <w:rPr>
          <w:rFonts w:ascii="Times New Roman" w:eastAsia="宋体" w:hAnsi="Times New Roman" w:hint="eastAsia"/>
        </w:rPr>
        <w:t>，水冷壁副产蒸汽</w:t>
      </w:r>
      <w:r w:rsidR="005E4FF9">
        <w:rPr>
          <w:rFonts w:ascii="Times New Roman" w:eastAsia="宋体" w:hAnsi="Times New Roman" w:hint="eastAsia"/>
        </w:rPr>
        <w:t>2t/h</w:t>
      </w:r>
      <w:r w:rsidR="005E4FF9">
        <w:rPr>
          <w:rFonts w:ascii="Times New Roman" w:eastAsia="宋体" w:hAnsi="Times New Roman" w:hint="eastAsia"/>
        </w:rPr>
        <w:t>。通过计算</w:t>
      </w:r>
      <w:r w:rsidR="005E4FF9" w:rsidRPr="007F6D87">
        <w:rPr>
          <w:rFonts w:ascii="Times New Roman" w:eastAsia="宋体" w:hAnsi="Times New Roman" w:hint="eastAsia"/>
        </w:rPr>
        <w:t>气化炉外壳与</w:t>
      </w:r>
      <w:r w:rsidR="005E4FF9">
        <w:rPr>
          <w:rFonts w:ascii="Times New Roman" w:eastAsia="宋体" w:hAnsi="Times New Roman" w:hint="eastAsia"/>
        </w:rPr>
        <w:t>大气</w:t>
      </w:r>
      <w:r w:rsidR="005E4FF9" w:rsidRPr="007F6D87">
        <w:rPr>
          <w:rFonts w:ascii="Times New Roman" w:eastAsia="宋体" w:hAnsi="Times New Roman" w:hint="eastAsia"/>
        </w:rPr>
        <w:t>的自然对流换热和辐射换热</w:t>
      </w:r>
      <w:r w:rsidR="005E4FF9">
        <w:rPr>
          <w:rFonts w:ascii="Times New Roman" w:eastAsia="宋体" w:hAnsi="Times New Roman" w:hint="eastAsia"/>
        </w:rPr>
        <w:t>[3]</w:t>
      </w:r>
      <w:r w:rsidR="005E4FF9">
        <w:rPr>
          <w:rFonts w:ascii="Times New Roman" w:eastAsia="宋体" w:hAnsi="Times New Roman" w:hint="eastAsia"/>
        </w:rPr>
        <w:t>，以及水冷壁的吸热量，如表</w:t>
      </w:r>
      <w:r w:rsidR="005E4FF9">
        <w:rPr>
          <w:rFonts w:ascii="Times New Roman" w:eastAsia="宋体" w:hAnsi="Times New Roman" w:hint="eastAsia"/>
        </w:rPr>
        <w:t>1</w:t>
      </w:r>
      <w:r w:rsidR="005E4FF9">
        <w:rPr>
          <w:rFonts w:ascii="Times New Roman" w:eastAsia="宋体" w:hAnsi="Times New Roman" w:hint="eastAsia"/>
        </w:rPr>
        <w:t>所示</w:t>
      </w:r>
      <w:r w:rsidR="005E4FF9" w:rsidRPr="007F6D87">
        <w:rPr>
          <w:rFonts w:ascii="Times New Roman" w:eastAsia="宋体" w:hAnsi="Times New Roman" w:hint="eastAsia"/>
        </w:rPr>
        <w:t>。</w:t>
      </w:r>
      <w:r w:rsidR="00D64395">
        <w:rPr>
          <w:rFonts w:ascii="Times New Roman" w:eastAsia="宋体" w:hAnsi="Times New Roman" w:hint="eastAsia"/>
        </w:rPr>
        <w:t>水冷壁气化炉</w:t>
      </w:r>
      <w:r w:rsidR="00332F23">
        <w:rPr>
          <w:rFonts w:ascii="Times New Roman" w:eastAsia="宋体" w:hAnsi="Times New Roman" w:hint="eastAsia"/>
        </w:rPr>
        <w:t>的</w:t>
      </w:r>
      <w:r w:rsidR="00D64395">
        <w:rPr>
          <w:rFonts w:ascii="Times New Roman" w:eastAsia="宋体" w:hAnsi="Times New Roman" w:hint="eastAsia"/>
        </w:rPr>
        <w:t>总散</w:t>
      </w:r>
      <w:r w:rsidR="00D64395" w:rsidRPr="00D64395">
        <w:rPr>
          <w:rFonts w:ascii="Times New Roman" w:eastAsia="宋体" w:hAnsi="Times New Roman" w:hint="eastAsia"/>
        </w:rPr>
        <w:t>热量</w:t>
      </w:r>
      <w:r w:rsidR="00332F23">
        <w:rPr>
          <w:rFonts w:ascii="Times New Roman" w:eastAsia="宋体" w:hAnsi="Times New Roman" w:hint="eastAsia"/>
        </w:rPr>
        <w:t>1276kW</w:t>
      </w:r>
      <w:r w:rsidR="00332F23">
        <w:rPr>
          <w:rFonts w:ascii="Times New Roman" w:eastAsia="宋体" w:hAnsi="Times New Roman" w:hint="eastAsia"/>
        </w:rPr>
        <w:t>，</w:t>
      </w:r>
      <w:r w:rsidR="00D64395">
        <w:rPr>
          <w:rFonts w:ascii="Times New Roman" w:eastAsia="宋体" w:hAnsi="Times New Roman" w:hint="eastAsia"/>
        </w:rPr>
        <w:t>虽然高于耐火砖气化炉</w:t>
      </w:r>
      <w:r w:rsidR="00332F23">
        <w:rPr>
          <w:rFonts w:ascii="Times New Roman" w:eastAsia="宋体" w:hAnsi="Times New Roman" w:hint="eastAsia"/>
        </w:rPr>
        <w:t>的总散热量</w:t>
      </w:r>
      <w:r w:rsidR="00D64395" w:rsidRPr="00D64395">
        <w:rPr>
          <w:rFonts w:ascii="Times New Roman" w:eastAsia="宋体" w:hAnsi="Times New Roman" w:hint="eastAsia"/>
        </w:rPr>
        <w:t>399kW</w:t>
      </w:r>
      <w:r w:rsidR="00D64395" w:rsidRPr="00D64395">
        <w:rPr>
          <w:rFonts w:ascii="Times New Roman" w:eastAsia="宋体" w:hAnsi="Times New Roman" w:hint="eastAsia"/>
        </w:rPr>
        <w:t>，但是其中</w:t>
      </w:r>
      <w:r w:rsidR="00D64395" w:rsidRPr="00D64395">
        <w:rPr>
          <w:rFonts w:ascii="Times New Roman" w:eastAsia="宋体" w:hAnsi="Times New Roman" w:hint="eastAsia"/>
        </w:rPr>
        <w:t>1166kW</w:t>
      </w:r>
      <w:r w:rsidR="00D64395" w:rsidRPr="00D64395">
        <w:rPr>
          <w:rFonts w:ascii="Times New Roman" w:eastAsia="宋体" w:hAnsi="Times New Roman" w:hint="eastAsia"/>
        </w:rPr>
        <w:t>的热量用于产蒸汽，可以得到回收利用。实际的向大气散热损失为，</w:t>
      </w:r>
      <w:r w:rsidR="00332F23">
        <w:rPr>
          <w:rFonts w:ascii="Times New Roman" w:eastAsia="宋体" w:hAnsi="Times New Roman" w:hint="eastAsia"/>
        </w:rPr>
        <w:t>水冷壁气化炉</w:t>
      </w:r>
      <w:r w:rsidR="00332F23">
        <w:rPr>
          <w:rFonts w:ascii="Times New Roman" w:eastAsia="宋体" w:hAnsi="Times New Roman" w:hint="eastAsia"/>
        </w:rPr>
        <w:t>110</w:t>
      </w:r>
      <w:r w:rsidR="00D64395" w:rsidRPr="00D64395">
        <w:rPr>
          <w:rFonts w:ascii="Times New Roman" w:eastAsia="宋体" w:hAnsi="Times New Roman" w:hint="eastAsia"/>
        </w:rPr>
        <w:t>kW</w:t>
      </w:r>
      <w:r w:rsidR="00D64395" w:rsidRPr="00D64395">
        <w:rPr>
          <w:rFonts w:ascii="Times New Roman" w:eastAsia="宋体" w:hAnsi="Times New Roman" w:hint="eastAsia"/>
        </w:rPr>
        <w:t>，低于耐火砖气化炉</w:t>
      </w:r>
      <w:r w:rsidR="00D64395" w:rsidRPr="00D64395">
        <w:rPr>
          <w:rFonts w:ascii="Times New Roman" w:eastAsia="宋体" w:hAnsi="Times New Roman" w:hint="eastAsia"/>
        </w:rPr>
        <w:t>399kW</w:t>
      </w:r>
      <w:r w:rsidR="00D64395" w:rsidRPr="00D64395">
        <w:rPr>
          <w:rFonts w:ascii="Times New Roman" w:eastAsia="宋体" w:hAnsi="Times New Roman" w:hint="eastAsia"/>
        </w:rPr>
        <w:t>。</w:t>
      </w:r>
      <w:r w:rsidR="00332F23">
        <w:rPr>
          <w:rFonts w:ascii="Times New Roman" w:eastAsia="宋体" w:hAnsi="Times New Roman" w:hint="eastAsia"/>
        </w:rPr>
        <w:t>由于水冷壁气化炉总散热仅增加</w:t>
      </w:r>
      <w:r w:rsidR="00332F23">
        <w:rPr>
          <w:rFonts w:ascii="Times New Roman" w:eastAsia="宋体" w:hAnsi="Times New Roman" w:hint="eastAsia"/>
        </w:rPr>
        <w:t>0.23%</w:t>
      </w:r>
      <w:r w:rsidR="00332F23">
        <w:rPr>
          <w:rFonts w:ascii="Times New Roman" w:eastAsia="宋体" w:hAnsi="Times New Roman" w:hint="eastAsia"/>
        </w:rPr>
        <w:t>，对气化消耗</w:t>
      </w:r>
      <w:r w:rsidR="00C8360E">
        <w:rPr>
          <w:rFonts w:ascii="Times New Roman" w:eastAsia="宋体" w:hAnsi="Times New Roman" w:hint="eastAsia"/>
        </w:rPr>
        <w:t>影响</w:t>
      </w:r>
      <w:r w:rsidR="00332F23">
        <w:rPr>
          <w:rFonts w:ascii="Times New Roman" w:eastAsia="宋体" w:hAnsi="Times New Roman" w:hint="eastAsia"/>
        </w:rPr>
        <w:t>基本可以忽略不计。</w:t>
      </w:r>
    </w:p>
    <w:p w:rsidR="000F2091" w:rsidRDefault="000F2091" w:rsidP="007F6D87">
      <w:pPr>
        <w:ind w:firstLineChars="200" w:firstLine="420"/>
        <w:jc w:val="left"/>
        <w:rPr>
          <w:rFonts w:ascii="Times New Roman" w:eastAsia="宋体" w:hAnsi="Times New Roman"/>
        </w:rPr>
      </w:pPr>
    </w:p>
    <w:p w:rsidR="000F2091" w:rsidRDefault="008D774E" w:rsidP="008D774E">
      <w:pPr>
        <w:jc w:val="center"/>
        <w:rPr>
          <w:rFonts w:ascii="Times New Roman" w:eastAsia="宋体" w:hAnsi="Times New Roman"/>
        </w:rPr>
      </w:pPr>
      <w:r w:rsidRPr="008D774E">
        <w:rPr>
          <w:rFonts w:ascii="Times New Roman" w:eastAsia="宋体" w:hAnsi="Times New Roman"/>
          <w:noProof/>
        </w:rPr>
        <w:drawing>
          <wp:inline distT="0" distB="0" distL="0" distR="0" wp14:anchorId="413029D9" wp14:editId="6FC241DF">
            <wp:extent cx="2520000" cy="1449382"/>
            <wp:effectExtent l="0" t="0" r="0" b="0"/>
            <wp:docPr id="64519" name="图片 4" descr="DSC0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9" name="图片 4" descr="DSC012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449382"/>
                    </a:xfrm>
                    <a:prstGeom prst="rect">
                      <a:avLst/>
                    </a:prstGeom>
                    <a:noFill/>
                    <a:ln>
                      <a:noFill/>
                    </a:ln>
                    <a:extLst/>
                  </pic:spPr>
                </pic:pic>
              </a:graphicData>
            </a:graphic>
          </wp:inline>
        </w:drawing>
      </w:r>
      <w:r w:rsidRPr="008D774E">
        <w:rPr>
          <w:rFonts w:ascii="Times New Roman" w:eastAsia="宋体" w:hAnsi="Times New Roman"/>
          <w:noProof/>
        </w:rPr>
        <w:drawing>
          <wp:inline distT="0" distB="0" distL="0" distR="0" wp14:anchorId="781A0225" wp14:editId="18D12CC5">
            <wp:extent cx="2520000" cy="1449056"/>
            <wp:effectExtent l="0" t="0" r="0" b="0"/>
            <wp:docPr id="64518" name="内容占位符 3" descr="DSC0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8" name="内容占位符 3" descr="DSC012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449056"/>
                    </a:xfrm>
                    <a:prstGeom prst="rect">
                      <a:avLst/>
                    </a:prstGeom>
                    <a:noFill/>
                    <a:ln>
                      <a:noFill/>
                    </a:ln>
                    <a:extLst/>
                  </pic:spPr>
                </pic:pic>
              </a:graphicData>
            </a:graphic>
          </wp:inline>
        </w:drawing>
      </w:r>
    </w:p>
    <w:p w:rsidR="008D774E" w:rsidRPr="00056207" w:rsidRDefault="008D774E" w:rsidP="008D774E">
      <w:pPr>
        <w:pStyle w:val="-"/>
        <w:ind w:firstLine="460"/>
        <w:rPr>
          <w:sz w:val="21"/>
          <w:szCs w:val="21"/>
        </w:rPr>
      </w:pPr>
      <w:r w:rsidRPr="00056207">
        <w:rPr>
          <w:rFonts w:hint="eastAsia"/>
          <w:sz w:val="21"/>
          <w:szCs w:val="21"/>
        </w:rPr>
        <w:t>图</w:t>
      </w:r>
      <w:r>
        <w:rPr>
          <w:rFonts w:hint="eastAsia"/>
          <w:sz w:val="21"/>
          <w:szCs w:val="21"/>
        </w:rPr>
        <w:t xml:space="preserve">3  </w:t>
      </w:r>
      <w:r>
        <w:rPr>
          <w:rFonts w:hint="eastAsia"/>
          <w:sz w:val="21"/>
          <w:szCs w:val="21"/>
        </w:rPr>
        <w:t>气化炉外壳温度（</w:t>
      </w:r>
      <w:r w:rsidRPr="005B7016">
        <w:rPr>
          <w:rFonts w:hint="eastAsia"/>
          <w:sz w:val="21"/>
          <w:szCs w:val="21"/>
        </w:rPr>
        <w:t>左：耐火砖气化炉；右：水冷壁气化炉</w:t>
      </w:r>
      <w:r>
        <w:rPr>
          <w:rFonts w:hint="eastAsia"/>
          <w:sz w:val="21"/>
          <w:szCs w:val="21"/>
        </w:rPr>
        <w:t>）</w:t>
      </w:r>
    </w:p>
    <w:p w:rsidR="000F2091" w:rsidRPr="008D774E" w:rsidRDefault="00FF69FC" w:rsidP="00FF69FC">
      <w:pPr>
        <w:jc w:val="center"/>
        <w:rPr>
          <w:rFonts w:ascii="Times New Roman" w:eastAsia="宋体" w:hAnsi="Times New Roman"/>
        </w:rPr>
      </w:pPr>
      <w:r>
        <w:rPr>
          <w:rFonts w:ascii="Times New Roman" w:eastAsia="宋体" w:hAnsi="Times New Roman" w:hint="eastAsia"/>
        </w:rPr>
        <w:t>表</w:t>
      </w:r>
      <w:r>
        <w:rPr>
          <w:rFonts w:ascii="Times New Roman" w:eastAsia="宋体" w:hAnsi="Times New Roman" w:hint="eastAsia"/>
        </w:rPr>
        <w:t xml:space="preserve">1  </w:t>
      </w:r>
      <w:r>
        <w:rPr>
          <w:rFonts w:ascii="Times New Roman" w:eastAsia="宋体" w:hAnsi="Times New Roman" w:hint="eastAsia"/>
        </w:rPr>
        <w:t>散热量对比</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667"/>
        <w:gridCol w:w="1733"/>
        <w:gridCol w:w="1659"/>
        <w:gridCol w:w="1767"/>
      </w:tblGrid>
      <w:tr w:rsidR="005E4FF9" w:rsidRPr="005E4FF9" w:rsidTr="00FF69FC">
        <w:tc>
          <w:tcPr>
            <w:tcW w:w="1696" w:type="dxa"/>
            <w:vMerge w:val="restart"/>
            <w:tcBorders>
              <w:top w:val="single" w:sz="12" w:space="0" w:color="auto"/>
            </w:tcBorders>
            <w:vAlign w:val="center"/>
          </w:tcPr>
          <w:p w:rsidR="005E4FF9" w:rsidRPr="005E4FF9" w:rsidRDefault="005E4FF9" w:rsidP="005E4FF9">
            <w:pPr>
              <w:snapToGrid w:val="0"/>
              <w:jc w:val="center"/>
              <w:rPr>
                <w:rFonts w:eastAsia="宋体"/>
                <w:szCs w:val="21"/>
              </w:rPr>
            </w:pPr>
            <w:r w:rsidRPr="005E4FF9">
              <w:rPr>
                <w:rFonts w:eastAsia="宋体" w:hint="eastAsia"/>
                <w:szCs w:val="21"/>
              </w:rPr>
              <w:t>项目</w:t>
            </w:r>
          </w:p>
        </w:tc>
        <w:tc>
          <w:tcPr>
            <w:tcW w:w="3400" w:type="dxa"/>
            <w:gridSpan w:val="2"/>
            <w:tcBorders>
              <w:top w:val="single" w:sz="12" w:space="0" w:color="auto"/>
            </w:tcBorders>
            <w:vAlign w:val="center"/>
          </w:tcPr>
          <w:p w:rsidR="005E4FF9" w:rsidRPr="005E4FF9" w:rsidRDefault="005E4FF9" w:rsidP="005E4FF9">
            <w:pPr>
              <w:snapToGrid w:val="0"/>
              <w:jc w:val="center"/>
              <w:rPr>
                <w:rFonts w:eastAsia="宋体"/>
                <w:szCs w:val="21"/>
              </w:rPr>
            </w:pPr>
            <w:r w:rsidRPr="005E4FF9">
              <w:rPr>
                <w:rFonts w:eastAsia="宋体" w:hint="eastAsia"/>
                <w:szCs w:val="21"/>
              </w:rPr>
              <w:t>耐火砖气化炉</w:t>
            </w:r>
          </w:p>
        </w:tc>
        <w:tc>
          <w:tcPr>
            <w:tcW w:w="3426" w:type="dxa"/>
            <w:gridSpan w:val="2"/>
            <w:tcBorders>
              <w:top w:val="single" w:sz="12" w:space="0" w:color="auto"/>
            </w:tcBorders>
          </w:tcPr>
          <w:p w:rsidR="005E4FF9" w:rsidRPr="005E4FF9" w:rsidRDefault="005E4FF9" w:rsidP="005E4FF9">
            <w:pPr>
              <w:snapToGrid w:val="0"/>
              <w:jc w:val="center"/>
              <w:rPr>
                <w:rFonts w:eastAsia="宋体"/>
                <w:szCs w:val="21"/>
              </w:rPr>
            </w:pPr>
            <w:r>
              <w:rPr>
                <w:rFonts w:eastAsia="宋体" w:hint="eastAsia"/>
                <w:szCs w:val="21"/>
              </w:rPr>
              <w:t>水冷壁气化炉</w:t>
            </w:r>
          </w:p>
        </w:tc>
      </w:tr>
      <w:tr w:rsidR="005E4FF9" w:rsidRPr="005E4FF9" w:rsidTr="00FF69FC">
        <w:tc>
          <w:tcPr>
            <w:tcW w:w="1696" w:type="dxa"/>
            <w:vMerge/>
            <w:tcBorders>
              <w:bottom w:val="single" w:sz="4" w:space="0" w:color="auto"/>
            </w:tcBorders>
            <w:vAlign w:val="center"/>
          </w:tcPr>
          <w:p w:rsidR="005E4FF9" w:rsidRPr="005E4FF9" w:rsidRDefault="005E4FF9" w:rsidP="005E4FF9">
            <w:pPr>
              <w:snapToGrid w:val="0"/>
              <w:jc w:val="center"/>
              <w:rPr>
                <w:rFonts w:eastAsia="宋体"/>
                <w:szCs w:val="21"/>
              </w:rPr>
            </w:pPr>
          </w:p>
        </w:tc>
        <w:tc>
          <w:tcPr>
            <w:tcW w:w="1667" w:type="dxa"/>
            <w:tcBorders>
              <w:bottom w:val="single" w:sz="4"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热量</w:t>
            </w:r>
          </w:p>
        </w:tc>
        <w:tc>
          <w:tcPr>
            <w:tcW w:w="1733" w:type="dxa"/>
            <w:tcBorders>
              <w:bottom w:val="single" w:sz="4"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与原料热值之比</w:t>
            </w:r>
          </w:p>
        </w:tc>
        <w:tc>
          <w:tcPr>
            <w:tcW w:w="1659" w:type="dxa"/>
            <w:tcBorders>
              <w:bottom w:val="single" w:sz="4" w:space="0" w:color="auto"/>
            </w:tcBorders>
            <w:vAlign w:val="center"/>
          </w:tcPr>
          <w:p w:rsidR="005E4FF9" w:rsidRPr="005E4FF9" w:rsidRDefault="005E4FF9" w:rsidP="009101FC">
            <w:pPr>
              <w:snapToGrid w:val="0"/>
              <w:jc w:val="center"/>
              <w:rPr>
                <w:rFonts w:eastAsia="宋体"/>
                <w:szCs w:val="21"/>
              </w:rPr>
            </w:pPr>
            <w:r>
              <w:rPr>
                <w:rFonts w:eastAsia="宋体" w:hint="eastAsia"/>
                <w:szCs w:val="21"/>
              </w:rPr>
              <w:t>热量</w:t>
            </w:r>
          </w:p>
        </w:tc>
        <w:tc>
          <w:tcPr>
            <w:tcW w:w="1767" w:type="dxa"/>
            <w:tcBorders>
              <w:bottom w:val="single" w:sz="4" w:space="0" w:color="auto"/>
            </w:tcBorders>
            <w:vAlign w:val="center"/>
          </w:tcPr>
          <w:p w:rsidR="005E4FF9" w:rsidRPr="005E4FF9" w:rsidRDefault="005E4FF9" w:rsidP="009101FC">
            <w:pPr>
              <w:snapToGrid w:val="0"/>
              <w:jc w:val="center"/>
              <w:rPr>
                <w:rFonts w:eastAsia="宋体"/>
                <w:szCs w:val="21"/>
              </w:rPr>
            </w:pPr>
            <w:r>
              <w:rPr>
                <w:rFonts w:eastAsia="宋体" w:hint="eastAsia"/>
                <w:szCs w:val="21"/>
              </w:rPr>
              <w:t>与原料热值之比</w:t>
            </w:r>
          </w:p>
        </w:tc>
      </w:tr>
      <w:tr w:rsidR="005E4FF9" w:rsidRPr="005E4FF9" w:rsidTr="00FF69FC">
        <w:tc>
          <w:tcPr>
            <w:tcW w:w="1696" w:type="dxa"/>
            <w:tcBorders>
              <w:top w:val="single" w:sz="4" w:space="0" w:color="auto"/>
            </w:tcBorders>
            <w:vAlign w:val="center"/>
          </w:tcPr>
          <w:p w:rsidR="005E4FF9" w:rsidRPr="005E4FF9" w:rsidRDefault="005E4FF9" w:rsidP="005E4FF9">
            <w:pPr>
              <w:snapToGrid w:val="0"/>
              <w:jc w:val="center"/>
              <w:rPr>
                <w:rFonts w:eastAsia="宋体"/>
                <w:szCs w:val="21"/>
              </w:rPr>
            </w:pPr>
            <w:r w:rsidRPr="005E4FF9">
              <w:rPr>
                <w:rFonts w:eastAsia="宋体" w:hint="eastAsia"/>
                <w:szCs w:val="21"/>
              </w:rPr>
              <w:t>向大气</w:t>
            </w:r>
            <w:r>
              <w:rPr>
                <w:rFonts w:eastAsia="宋体" w:hint="eastAsia"/>
                <w:szCs w:val="21"/>
              </w:rPr>
              <w:t>散热</w:t>
            </w:r>
          </w:p>
        </w:tc>
        <w:tc>
          <w:tcPr>
            <w:tcW w:w="1667" w:type="dxa"/>
            <w:tcBorders>
              <w:top w:val="single" w:sz="4"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399kW</w:t>
            </w:r>
          </w:p>
        </w:tc>
        <w:tc>
          <w:tcPr>
            <w:tcW w:w="1733" w:type="dxa"/>
            <w:tcBorders>
              <w:top w:val="single" w:sz="4"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0.11%</w:t>
            </w:r>
          </w:p>
        </w:tc>
        <w:tc>
          <w:tcPr>
            <w:tcW w:w="1659" w:type="dxa"/>
            <w:tcBorders>
              <w:top w:val="single" w:sz="4" w:space="0" w:color="auto"/>
            </w:tcBorders>
          </w:tcPr>
          <w:p w:rsidR="005E4FF9" w:rsidRPr="005E4FF9" w:rsidRDefault="005E4FF9" w:rsidP="005E4FF9">
            <w:pPr>
              <w:snapToGrid w:val="0"/>
              <w:jc w:val="center"/>
              <w:rPr>
                <w:rFonts w:eastAsia="宋体"/>
                <w:szCs w:val="21"/>
              </w:rPr>
            </w:pPr>
            <w:r>
              <w:rPr>
                <w:rFonts w:eastAsia="宋体" w:hint="eastAsia"/>
                <w:szCs w:val="21"/>
              </w:rPr>
              <w:t>110kW</w:t>
            </w:r>
          </w:p>
        </w:tc>
        <w:tc>
          <w:tcPr>
            <w:tcW w:w="1767" w:type="dxa"/>
            <w:tcBorders>
              <w:top w:val="single" w:sz="4"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0.03%</w:t>
            </w:r>
          </w:p>
        </w:tc>
      </w:tr>
      <w:tr w:rsidR="005E4FF9" w:rsidRPr="005E4FF9" w:rsidTr="00FF69FC">
        <w:tc>
          <w:tcPr>
            <w:tcW w:w="1696" w:type="dxa"/>
            <w:vAlign w:val="center"/>
          </w:tcPr>
          <w:p w:rsidR="005E4FF9" w:rsidRPr="005E4FF9" w:rsidRDefault="005E4FF9" w:rsidP="005E4FF9">
            <w:pPr>
              <w:snapToGrid w:val="0"/>
              <w:jc w:val="center"/>
              <w:rPr>
                <w:rFonts w:eastAsia="宋体"/>
                <w:szCs w:val="21"/>
              </w:rPr>
            </w:pPr>
            <w:r>
              <w:rPr>
                <w:rFonts w:eastAsia="宋体" w:hint="eastAsia"/>
                <w:szCs w:val="21"/>
              </w:rPr>
              <w:t>水冷壁吸热</w:t>
            </w:r>
          </w:p>
        </w:tc>
        <w:tc>
          <w:tcPr>
            <w:tcW w:w="1667" w:type="dxa"/>
            <w:vAlign w:val="center"/>
          </w:tcPr>
          <w:p w:rsidR="005E4FF9" w:rsidRPr="005E4FF9" w:rsidRDefault="005E4FF9" w:rsidP="005E4FF9">
            <w:pPr>
              <w:snapToGrid w:val="0"/>
              <w:jc w:val="center"/>
              <w:rPr>
                <w:rFonts w:eastAsia="宋体"/>
                <w:szCs w:val="21"/>
              </w:rPr>
            </w:pPr>
          </w:p>
        </w:tc>
        <w:tc>
          <w:tcPr>
            <w:tcW w:w="1733" w:type="dxa"/>
            <w:vAlign w:val="center"/>
          </w:tcPr>
          <w:p w:rsidR="005E4FF9" w:rsidRPr="005E4FF9" w:rsidRDefault="005E4FF9" w:rsidP="005E4FF9">
            <w:pPr>
              <w:snapToGrid w:val="0"/>
              <w:jc w:val="center"/>
              <w:rPr>
                <w:rFonts w:eastAsia="宋体"/>
                <w:szCs w:val="21"/>
              </w:rPr>
            </w:pPr>
          </w:p>
        </w:tc>
        <w:tc>
          <w:tcPr>
            <w:tcW w:w="1659" w:type="dxa"/>
          </w:tcPr>
          <w:p w:rsidR="005E4FF9" w:rsidRPr="005E4FF9" w:rsidRDefault="005E4FF9" w:rsidP="005E4FF9">
            <w:pPr>
              <w:snapToGrid w:val="0"/>
              <w:jc w:val="center"/>
              <w:rPr>
                <w:rFonts w:eastAsia="宋体"/>
                <w:szCs w:val="21"/>
              </w:rPr>
            </w:pPr>
            <w:r>
              <w:rPr>
                <w:rFonts w:eastAsia="宋体" w:hint="eastAsia"/>
                <w:szCs w:val="21"/>
              </w:rPr>
              <w:t>1166kW</w:t>
            </w:r>
          </w:p>
        </w:tc>
        <w:tc>
          <w:tcPr>
            <w:tcW w:w="1767" w:type="dxa"/>
            <w:vAlign w:val="center"/>
          </w:tcPr>
          <w:p w:rsidR="005E4FF9" w:rsidRPr="005E4FF9" w:rsidRDefault="005E4FF9" w:rsidP="005E4FF9">
            <w:pPr>
              <w:snapToGrid w:val="0"/>
              <w:jc w:val="center"/>
              <w:rPr>
                <w:rFonts w:eastAsia="宋体"/>
                <w:szCs w:val="21"/>
              </w:rPr>
            </w:pPr>
            <w:r>
              <w:rPr>
                <w:rFonts w:eastAsia="宋体" w:hint="eastAsia"/>
                <w:szCs w:val="21"/>
              </w:rPr>
              <w:t>0.31%</w:t>
            </w:r>
          </w:p>
        </w:tc>
      </w:tr>
      <w:tr w:rsidR="005E4FF9" w:rsidRPr="005E4FF9" w:rsidTr="00FF69FC">
        <w:tc>
          <w:tcPr>
            <w:tcW w:w="1696" w:type="dxa"/>
            <w:tcBorders>
              <w:bottom w:val="single" w:sz="12" w:space="0" w:color="auto"/>
            </w:tcBorders>
            <w:vAlign w:val="center"/>
          </w:tcPr>
          <w:p w:rsidR="005E4FF9" w:rsidRPr="005E4FF9" w:rsidRDefault="005E4FF9" w:rsidP="005E4FF9">
            <w:pPr>
              <w:snapToGrid w:val="0"/>
              <w:jc w:val="center"/>
              <w:rPr>
                <w:rFonts w:eastAsia="宋体"/>
                <w:szCs w:val="21"/>
              </w:rPr>
            </w:pPr>
            <w:r w:rsidRPr="005E4FF9">
              <w:rPr>
                <w:rFonts w:eastAsia="宋体" w:hint="eastAsia"/>
                <w:szCs w:val="21"/>
              </w:rPr>
              <w:t>燃烧室总</w:t>
            </w:r>
            <w:r>
              <w:rPr>
                <w:rFonts w:eastAsia="宋体" w:hint="eastAsia"/>
                <w:szCs w:val="21"/>
              </w:rPr>
              <w:t>散热</w:t>
            </w:r>
          </w:p>
        </w:tc>
        <w:tc>
          <w:tcPr>
            <w:tcW w:w="1667" w:type="dxa"/>
            <w:tcBorders>
              <w:bottom w:val="single" w:sz="12" w:space="0" w:color="auto"/>
            </w:tcBorders>
            <w:vAlign w:val="center"/>
          </w:tcPr>
          <w:p w:rsidR="005E4FF9" w:rsidRPr="005E4FF9" w:rsidRDefault="005E4FF9" w:rsidP="009101FC">
            <w:pPr>
              <w:snapToGrid w:val="0"/>
              <w:jc w:val="center"/>
              <w:rPr>
                <w:rFonts w:eastAsia="宋体"/>
                <w:szCs w:val="21"/>
              </w:rPr>
            </w:pPr>
            <w:r>
              <w:rPr>
                <w:rFonts w:eastAsia="宋体"/>
                <w:szCs w:val="21"/>
              </w:rPr>
              <w:fldChar w:fldCharType="begin"/>
            </w:r>
            <w:r>
              <w:rPr>
                <w:rFonts w:eastAsia="宋体"/>
                <w:szCs w:val="21"/>
              </w:rPr>
              <w:instrText xml:space="preserve"> </w:instrText>
            </w:r>
            <w:r>
              <w:rPr>
                <w:rFonts w:eastAsia="宋体" w:hint="eastAsia"/>
                <w:szCs w:val="21"/>
              </w:rPr>
              <w:instrText>=SUM(above)</w:instrText>
            </w:r>
            <w:r>
              <w:rPr>
                <w:rFonts w:eastAsia="宋体"/>
                <w:szCs w:val="21"/>
              </w:rPr>
              <w:instrText xml:space="preserve"> </w:instrText>
            </w:r>
            <w:r>
              <w:rPr>
                <w:rFonts w:eastAsia="宋体"/>
                <w:szCs w:val="21"/>
              </w:rPr>
              <w:fldChar w:fldCharType="separate"/>
            </w:r>
            <w:r>
              <w:rPr>
                <w:rFonts w:eastAsia="宋体"/>
                <w:noProof/>
                <w:szCs w:val="21"/>
              </w:rPr>
              <w:t>399</w:t>
            </w:r>
            <w:r>
              <w:rPr>
                <w:rFonts w:eastAsia="宋体"/>
                <w:szCs w:val="21"/>
              </w:rPr>
              <w:fldChar w:fldCharType="end"/>
            </w:r>
            <w:r>
              <w:rPr>
                <w:rFonts w:eastAsia="宋体" w:hint="eastAsia"/>
                <w:szCs w:val="21"/>
              </w:rPr>
              <w:t>kW</w:t>
            </w:r>
          </w:p>
        </w:tc>
        <w:tc>
          <w:tcPr>
            <w:tcW w:w="1733" w:type="dxa"/>
            <w:tcBorders>
              <w:bottom w:val="single" w:sz="12" w:space="0" w:color="auto"/>
            </w:tcBorders>
            <w:vAlign w:val="center"/>
          </w:tcPr>
          <w:p w:rsidR="005E4FF9" w:rsidRPr="005E4FF9" w:rsidRDefault="005E4FF9" w:rsidP="005E4FF9">
            <w:pPr>
              <w:snapToGrid w:val="0"/>
              <w:jc w:val="center"/>
              <w:rPr>
                <w:rFonts w:eastAsia="宋体"/>
                <w:szCs w:val="21"/>
              </w:rPr>
            </w:pPr>
            <w:r>
              <w:rPr>
                <w:rFonts w:eastAsia="宋体" w:hint="eastAsia"/>
                <w:szCs w:val="21"/>
              </w:rPr>
              <w:t>0.11%</w:t>
            </w:r>
          </w:p>
        </w:tc>
        <w:tc>
          <w:tcPr>
            <w:tcW w:w="1659" w:type="dxa"/>
            <w:tcBorders>
              <w:bottom w:val="single" w:sz="12" w:space="0" w:color="auto"/>
            </w:tcBorders>
          </w:tcPr>
          <w:p w:rsidR="005E4FF9" w:rsidRPr="005E4FF9" w:rsidRDefault="005E4FF9" w:rsidP="005E4FF9">
            <w:pPr>
              <w:snapToGrid w:val="0"/>
              <w:jc w:val="center"/>
              <w:rPr>
                <w:rFonts w:eastAsia="宋体"/>
                <w:szCs w:val="21"/>
              </w:rPr>
            </w:pPr>
            <w:r>
              <w:rPr>
                <w:rFonts w:eastAsia="宋体"/>
                <w:szCs w:val="21"/>
              </w:rPr>
              <w:fldChar w:fldCharType="begin"/>
            </w:r>
            <w:r>
              <w:rPr>
                <w:rFonts w:eastAsia="宋体"/>
                <w:szCs w:val="21"/>
              </w:rPr>
              <w:instrText xml:space="preserve"> </w:instrText>
            </w:r>
            <w:r>
              <w:rPr>
                <w:rFonts w:eastAsia="宋体" w:hint="eastAsia"/>
                <w:szCs w:val="21"/>
              </w:rPr>
              <w:instrText>=SUM(above)</w:instrText>
            </w:r>
            <w:r>
              <w:rPr>
                <w:rFonts w:eastAsia="宋体"/>
                <w:szCs w:val="21"/>
              </w:rPr>
              <w:instrText xml:space="preserve"> </w:instrText>
            </w:r>
            <w:r>
              <w:rPr>
                <w:rFonts w:eastAsia="宋体"/>
                <w:szCs w:val="21"/>
              </w:rPr>
              <w:fldChar w:fldCharType="separate"/>
            </w:r>
            <w:r>
              <w:rPr>
                <w:rFonts w:eastAsia="宋体"/>
                <w:noProof/>
                <w:szCs w:val="21"/>
              </w:rPr>
              <w:t>1276</w:t>
            </w:r>
            <w:r>
              <w:rPr>
                <w:rFonts w:eastAsia="宋体"/>
                <w:szCs w:val="21"/>
              </w:rPr>
              <w:fldChar w:fldCharType="end"/>
            </w:r>
            <w:r>
              <w:rPr>
                <w:rFonts w:eastAsia="宋体" w:hint="eastAsia"/>
                <w:szCs w:val="21"/>
              </w:rPr>
              <w:t>kW</w:t>
            </w:r>
          </w:p>
        </w:tc>
        <w:tc>
          <w:tcPr>
            <w:tcW w:w="1767" w:type="dxa"/>
            <w:tcBorders>
              <w:bottom w:val="single" w:sz="12" w:space="0" w:color="auto"/>
            </w:tcBorders>
            <w:vAlign w:val="center"/>
          </w:tcPr>
          <w:p w:rsidR="005E4FF9" w:rsidRPr="005E4FF9" w:rsidRDefault="005E4FF9" w:rsidP="00332F23">
            <w:pPr>
              <w:snapToGrid w:val="0"/>
              <w:jc w:val="center"/>
              <w:rPr>
                <w:rFonts w:eastAsia="宋体"/>
                <w:szCs w:val="21"/>
              </w:rPr>
            </w:pPr>
            <w:r>
              <w:rPr>
                <w:rFonts w:eastAsia="宋体" w:hint="eastAsia"/>
                <w:szCs w:val="21"/>
              </w:rPr>
              <w:t>0.3</w:t>
            </w:r>
            <w:r w:rsidR="00332F23">
              <w:rPr>
                <w:rFonts w:eastAsia="宋体" w:hint="eastAsia"/>
                <w:szCs w:val="21"/>
              </w:rPr>
              <w:t>4</w:t>
            </w:r>
            <w:r>
              <w:rPr>
                <w:rFonts w:eastAsia="宋体" w:hint="eastAsia"/>
                <w:szCs w:val="21"/>
              </w:rPr>
              <w:t>%</w:t>
            </w:r>
          </w:p>
        </w:tc>
      </w:tr>
    </w:tbl>
    <w:p w:rsidR="000F2091" w:rsidRDefault="000F2091" w:rsidP="005E4FF9">
      <w:pPr>
        <w:jc w:val="left"/>
        <w:rPr>
          <w:rFonts w:ascii="Times New Roman" w:eastAsia="宋体" w:hAnsi="Times New Roman"/>
        </w:rPr>
      </w:pPr>
    </w:p>
    <w:p w:rsidR="004C6E6F" w:rsidRDefault="003E7497" w:rsidP="00C8360E">
      <w:pPr>
        <w:ind w:firstLineChars="200" w:firstLine="420"/>
        <w:jc w:val="left"/>
        <w:rPr>
          <w:rFonts w:ascii="Times New Roman" w:eastAsia="宋体" w:hAnsi="Times New Roman"/>
        </w:rPr>
      </w:pPr>
      <w:r>
        <w:rPr>
          <w:rFonts w:ascii="Times New Roman" w:eastAsia="宋体" w:hAnsi="Times New Roman"/>
        </w:rPr>
        <w:t>综上所述</w:t>
      </w:r>
      <w:r>
        <w:rPr>
          <w:rFonts w:ascii="Times New Roman" w:eastAsia="宋体" w:hAnsi="Times New Roman" w:hint="eastAsia"/>
        </w:rPr>
        <w:t>，</w:t>
      </w:r>
      <w:r w:rsidR="00C8360E">
        <w:rPr>
          <w:rFonts w:ascii="Times New Roman" w:eastAsia="宋体" w:hAnsi="Times New Roman" w:hint="eastAsia"/>
        </w:rPr>
        <w:t>水冷壁气化炉炉壁形成的固态和液态共存渣层，</w:t>
      </w:r>
      <w:r w:rsidR="00E76F8C">
        <w:rPr>
          <w:rFonts w:ascii="Times New Roman" w:eastAsia="宋体" w:hAnsi="Times New Roman" w:hint="eastAsia"/>
        </w:rPr>
        <w:t>渣层的隔热作用使耐火层处于较低的工作温度，而且使水冷壁吸热量大大降低。水冷壁气化炉总散热中绝大部分得到回收利用，且增加的散热量对气化消耗影响可忽略不计。</w:t>
      </w:r>
    </w:p>
    <w:p w:rsidR="001D490A" w:rsidRDefault="001D490A">
      <w:pPr>
        <w:jc w:val="left"/>
        <w:rPr>
          <w:rFonts w:ascii="Times New Roman" w:eastAsia="宋体" w:hAnsi="Times New Roman"/>
        </w:rPr>
      </w:pPr>
    </w:p>
    <w:p w:rsidR="003D2182" w:rsidRDefault="003D2182">
      <w:pPr>
        <w:jc w:val="left"/>
        <w:rPr>
          <w:rFonts w:ascii="Times New Roman" w:eastAsia="宋体" w:hAnsi="Times New Roman"/>
        </w:rPr>
      </w:pPr>
      <w:r w:rsidRPr="003D2182">
        <w:rPr>
          <w:rFonts w:ascii="Times New Roman" w:eastAsia="宋体" w:hAnsi="Times New Roman" w:hint="eastAsia"/>
        </w:rPr>
        <w:t>作者简介：管清亮，男，</w:t>
      </w:r>
      <w:r w:rsidRPr="003D2182">
        <w:rPr>
          <w:rFonts w:ascii="Times New Roman" w:eastAsia="宋体" w:hAnsi="Times New Roman" w:hint="eastAsia"/>
        </w:rPr>
        <w:t>1988</w:t>
      </w:r>
      <w:r w:rsidRPr="003D2182">
        <w:rPr>
          <w:rFonts w:ascii="Times New Roman" w:eastAsia="宋体" w:hAnsi="Times New Roman" w:hint="eastAsia"/>
        </w:rPr>
        <w:t>年</w:t>
      </w:r>
      <w:r w:rsidRPr="003D2182">
        <w:rPr>
          <w:rFonts w:ascii="Times New Roman" w:eastAsia="宋体" w:hAnsi="Times New Roman" w:hint="eastAsia"/>
        </w:rPr>
        <w:t>10</w:t>
      </w:r>
      <w:r w:rsidRPr="003D2182">
        <w:rPr>
          <w:rFonts w:ascii="Times New Roman" w:eastAsia="宋体" w:hAnsi="Times New Roman" w:hint="eastAsia"/>
        </w:rPr>
        <w:t>月出生，博士研究生学历，高级工程师，</w:t>
      </w:r>
      <w:r w:rsidRPr="003D2182">
        <w:rPr>
          <w:rFonts w:ascii="Times New Roman" w:eastAsia="宋体" w:hAnsi="Times New Roman" w:hint="eastAsia"/>
        </w:rPr>
        <w:t>2015</w:t>
      </w:r>
      <w:r w:rsidRPr="003D2182">
        <w:rPr>
          <w:rFonts w:ascii="Times New Roman" w:eastAsia="宋体" w:hAnsi="Times New Roman" w:hint="eastAsia"/>
        </w:rPr>
        <w:t>年毕业于清华大学热能工程系，长期从事煤气化和煤炭清洁高效利用技术研究和开发工作。</w:t>
      </w:r>
    </w:p>
    <w:p w:rsidR="003D2182" w:rsidRDefault="003D2182">
      <w:pPr>
        <w:jc w:val="left"/>
        <w:rPr>
          <w:rFonts w:ascii="Times New Roman" w:eastAsia="宋体" w:hAnsi="Times New Roman"/>
        </w:rPr>
      </w:pPr>
    </w:p>
    <w:p w:rsidR="00606ACC" w:rsidRPr="00606ACC" w:rsidRDefault="00606ACC">
      <w:pPr>
        <w:jc w:val="left"/>
        <w:rPr>
          <w:rFonts w:ascii="Times New Roman" w:eastAsia="宋体" w:hAnsi="Times New Roman"/>
          <w:sz w:val="20"/>
        </w:rPr>
      </w:pPr>
      <w:r w:rsidRPr="00606ACC">
        <w:rPr>
          <w:rFonts w:ascii="Times New Roman" w:eastAsia="宋体" w:hAnsi="Times New Roman" w:hint="eastAsia"/>
          <w:sz w:val="20"/>
        </w:rPr>
        <w:t>参考文献</w:t>
      </w:r>
    </w:p>
    <w:p w:rsidR="00606ACC" w:rsidRPr="00606ACC" w:rsidRDefault="00606ACC">
      <w:pPr>
        <w:jc w:val="left"/>
        <w:rPr>
          <w:rFonts w:ascii="Times New Roman" w:eastAsia="宋体" w:hAnsi="Times New Roman"/>
          <w:sz w:val="20"/>
        </w:rPr>
      </w:pPr>
      <w:r w:rsidRPr="00606ACC">
        <w:rPr>
          <w:rFonts w:ascii="Times New Roman" w:eastAsia="宋体" w:hAnsi="Times New Roman"/>
          <w:sz w:val="20"/>
        </w:rPr>
        <w:t xml:space="preserve">[1] </w:t>
      </w:r>
      <w:r w:rsidR="00892CAB" w:rsidRPr="00892CAB">
        <w:rPr>
          <w:rFonts w:ascii="Times New Roman" w:eastAsia="宋体" w:hAnsi="Times New Roman" w:hint="eastAsia"/>
          <w:sz w:val="20"/>
        </w:rPr>
        <w:t>赵勇</w:t>
      </w:r>
      <w:r w:rsidR="00892CAB" w:rsidRPr="00892CAB">
        <w:rPr>
          <w:rFonts w:ascii="Times New Roman" w:eastAsia="宋体" w:hAnsi="Times New Roman" w:hint="eastAsia"/>
          <w:sz w:val="20"/>
        </w:rPr>
        <w:t xml:space="preserve">. </w:t>
      </w:r>
      <w:r w:rsidR="00892CAB" w:rsidRPr="00892CAB">
        <w:rPr>
          <w:rFonts w:ascii="Times New Roman" w:eastAsia="宋体" w:hAnsi="Times New Roman" w:hint="eastAsia"/>
          <w:sz w:val="20"/>
        </w:rPr>
        <w:t>气流床熔渣熔融和流动特性的模型及实验研究</w:t>
      </w:r>
      <w:r w:rsidR="00892CAB" w:rsidRPr="00892CAB">
        <w:rPr>
          <w:rFonts w:ascii="Times New Roman" w:eastAsia="宋体" w:hAnsi="Times New Roman" w:hint="eastAsia"/>
          <w:sz w:val="20"/>
        </w:rPr>
        <w:t xml:space="preserve">[D]. </w:t>
      </w:r>
      <w:r w:rsidR="00892CAB" w:rsidRPr="00892CAB">
        <w:rPr>
          <w:rFonts w:ascii="Times New Roman" w:eastAsia="宋体" w:hAnsi="Times New Roman" w:hint="eastAsia"/>
          <w:sz w:val="20"/>
        </w:rPr>
        <w:t>北京</w:t>
      </w:r>
      <w:r w:rsidR="00892CAB" w:rsidRPr="00892CAB">
        <w:rPr>
          <w:rFonts w:ascii="Times New Roman" w:eastAsia="宋体" w:hAnsi="Times New Roman" w:hint="eastAsia"/>
          <w:sz w:val="20"/>
        </w:rPr>
        <w:t xml:space="preserve">: </w:t>
      </w:r>
      <w:r w:rsidR="00892CAB" w:rsidRPr="00892CAB">
        <w:rPr>
          <w:rFonts w:ascii="Times New Roman" w:eastAsia="宋体" w:hAnsi="Times New Roman" w:hint="eastAsia"/>
          <w:sz w:val="20"/>
        </w:rPr>
        <w:t>清华大学</w:t>
      </w:r>
      <w:r w:rsidR="00892CAB" w:rsidRPr="00892CAB">
        <w:rPr>
          <w:rFonts w:ascii="Times New Roman" w:eastAsia="宋体" w:hAnsi="Times New Roman" w:hint="eastAsia"/>
          <w:sz w:val="20"/>
        </w:rPr>
        <w:t>, 2014</w:t>
      </w:r>
    </w:p>
    <w:p w:rsidR="00606ACC" w:rsidRDefault="00B94FAC">
      <w:pPr>
        <w:jc w:val="left"/>
        <w:rPr>
          <w:rFonts w:ascii="Times New Roman" w:eastAsia="宋体" w:hAnsi="Times New Roman"/>
        </w:rPr>
      </w:pPr>
      <w:r w:rsidRPr="00B94FAC">
        <w:rPr>
          <w:rFonts w:ascii="Times New Roman" w:eastAsia="宋体" w:hAnsi="Times New Roman"/>
        </w:rPr>
        <w:t>[</w:t>
      </w:r>
      <w:r>
        <w:rPr>
          <w:rFonts w:ascii="Times New Roman" w:eastAsia="宋体" w:hAnsi="Times New Roman" w:hint="eastAsia"/>
        </w:rPr>
        <w:t>2</w:t>
      </w:r>
      <w:r w:rsidRPr="00B94FAC">
        <w:rPr>
          <w:rFonts w:ascii="Times New Roman" w:eastAsia="宋体" w:hAnsi="Times New Roman"/>
        </w:rPr>
        <w:t xml:space="preserve">] </w:t>
      </w:r>
      <w:r w:rsidR="00C21863" w:rsidRPr="00C21863">
        <w:rPr>
          <w:rFonts w:ascii="Times New Roman" w:eastAsia="宋体" w:hAnsi="Times New Roman"/>
        </w:rPr>
        <w:t>Rezaei H R, Gupta R P, Bryant G W, et al. Thermal conductivity of coal ash and slags and models used[J]. Fuel. 2000, 79(13): 1697-1710.</w:t>
      </w:r>
    </w:p>
    <w:p w:rsidR="00B94FAC" w:rsidRDefault="00C21863">
      <w:pPr>
        <w:jc w:val="left"/>
        <w:rPr>
          <w:rFonts w:ascii="Times New Roman" w:eastAsia="宋体" w:hAnsi="Times New Roman"/>
        </w:rPr>
      </w:pPr>
      <w:r w:rsidRPr="00C21863">
        <w:rPr>
          <w:rFonts w:ascii="Times New Roman" w:eastAsia="宋体" w:hAnsi="Times New Roman"/>
        </w:rPr>
        <w:t>[</w:t>
      </w:r>
      <w:r>
        <w:rPr>
          <w:rFonts w:ascii="Times New Roman" w:eastAsia="宋体" w:hAnsi="Times New Roman" w:hint="eastAsia"/>
        </w:rPr>
        <w:t>3</w:t>
      </w:r>
      <w:r w:rsidRPr="00C21863">
        <w:rPr>
          <w:rFonts w:ascii="Times New Roman" w:eastAsia="宋体" w:hAnsi="Times New Roman"/>
        </w:rPr>
        <w:t>] V</w:t>
      </w:r>
      <w:r>
        <w:rPr>
          <w:rFonts w:ascii="Times New Roman" w:eastAsia="宋体" w:hAnsi="Times New Roman" w:hint="eastAsia"/>
        </w:rPr>
        <w:t>DI</w:t>
      </w:r>
      <w:r w:rsidRPr="00C21863">
        <w:rPr>
          <w:rFonts w:ascii="Times New Roman" w:eastAsia="宋体" w:hAnsi="Times New Roman"/>
        </w:rPr>
        <w:t xml:space="preserve"> E V. VDI Heat Atlas[M]. Berlin, Heidelberg : Springer Berlin Heidelberg : Imprint: Springer, 2010.</w:t>
      </w:r>
    </w:p>
    <w:p w:rsidR="00B94FAC" w:rsidRDefault="00B94FAC">
      <w:pPr>
        <w:jc w:val="left"/>
        <w:rPr>
          <w:rFonts w:ascii="Times New Roman" w:eastAsia="宋体" w:hAnsi="Times New Roman"/>
        </w:rPr>
      </w:pPr>
    </w:p>
    <w:p w:rsidR="001D490A" w:rsidRDefault="001D490A">
      <w:pPr>
        <w:jc w:val="left"/>
        <w:rPr>
          <w:rFonts w:ascii="Times New Roman" w:eastAsia="宋体" w:hAnsi="Times New Roman"/>
        </w:rPr>
      </w:pPr>
      <w:r>
        <w:rPr>
          <w:rFonts w:ascii="Times New Roman" w:eastAsia="宋体" w:hAnsi="Times New Roman" w:hint="eastAsia"/>
        </w:rPr>
        <w:t>撰稿</w:t>
      </w:r>
      <w:r>
        <w:rPr>
          <w:rFonts w:ascii="Times New Roman" w:eastAsia="宋体" w:hAnsi="Times New Roman" w:hint="eastAsia"/>
        </w:rPr>
        <w:t xml:space="preserve"> | </w:t>
      </w:r>
      <w:r>
        <w:rPr>
          <w:rFonts w:ascii="Times New Roman" w:eastAsia="宋体" w:hAnsi="Times New Roman" w:hint="eastAsia"/>
        </w:rPr>
        <w:t>管清亮</w:t>
      </w:r>
    </w:p>
    <w:p w:rsidR="001D490A" w:rsidRDefault="001D490A">
      <w:pPr>
        <w:jc w:val="left"/>
        <w:rPr>
          <w:rFonts w:ascii="Times New Roman" w:eastAsia="宋体" w:hAnsi="Times New Roman"/>
        </w:rPr>
      </w:pPr>
      <w:r>
        <w:rPr>
          <w:rFonts w:ascii="Times New Roman" w:eastAsia="宋体" w:hAnsi="Times New Roman" w:hint="eastAsia"/>
        </w:rPr>
        <w:t>编辑</w:t>
      </w:r>
      <w:r>
        <w:rPr>
          <w:rFonts w:ascii="Times New Roman" w:eastAsia="宋体" w:hAnsi="Times New Roman" w:hint="eastAsia"/>
        </w:rPr>
        <w:t xml:space="preserve"> | </w:t>
      </w:r>
      <w:r w:rsidR="003D2182">
        <w:rPr>
          <w:rFonts w:ascii="Times New Roman" w:eastAsia="宋体" w:hAnsi="Times New Roman" w:hint="eastAsia"/>
        </w:rPr>
        <w:t>李瑞丹</w:t>
      </w:r>
    </w:p>
    <w:p w:rsidR="001D490A" w:rsidRPr="007A3DE9" w:rsidRDefault="001D490A">
      <w:pPr>
        <w:jc w:val="left"/>
        <w:rPr>
          <w:rFonts w:ascii="Times New Roman" w:eastAsia="宋体" w:hAnsi="Times New Roman"/>
        </w:rPr>
      </w:pPr>
      <w:r>
        <w:rPr>
          <w:rFonts w:ascii="Times New Roman" w:eastAsia="宋体" w:hAnsi="Times New Roman" w:hint="eastAsia"/>
        </w:rPr>
        <w:t>审核</w:t>
      </w:r>
      <w:r>
        <w:rPr>
          <w:rFonts w:ascii="Times New Roman" w:eastAsia="宋体" w:hAnsi="Times New Roman" w:hint="eastAsia"/>
        </w:rPr>
        <w:t xml:space="preserve"> | </w:t>
      </w:r>
      <w:r>
        <w:rPr>
          <w:rFonts w:ascii="Times New Roman" w:eastAsia="宋体" w:hAnsi="Times New Roman" w:hint="eastAsia"/>
        </w:rPr>
        <w:t>岳军</w:t>
      </w:r>
    </w:p>
    <w:sectPr w:rsidR="001D490A" w:rsidRPr="007A3D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49" w:rsidRDefault="00BC6549" w:rsidP="003D2182">
      <w:r>
        <w:separator/>
      </w:r>
    </w:p>
  </w:endnote>
  <w:endnote w:type="continuationSeparator" w:id="0">
    <w:p w:rsidR="00BC6549" w:rsidRDefault="00BC6549" w:rsidP="003D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49" w:rsidRDefault="00BC6549" w:rsidP="003D2182">
      <w:r>
        <w:separator/>
      </w:r>
    </w:p>
  </w:footnote>
  <w:footnote w:type="continuationSeparator" w:id="0">
    <w:p w:rsidR="00BC6549" w:rsidRDefault="00BC6549" w:rsidP="003D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D6"/>
    <w:rsid w:val="00006D50"/>
    <w:rsid w:val="00013681"/>
    <w:rsid w:val="0002076E"/>
    <w:rsid w:val="00056207"/>
    <w:rsid w:val="00082D79"/>
    <w:rsid w:val="00086CE4"/>
    <w:rsid w:val="000E426D"/>
    <w:rsid w:val="000F2091"/>
    <w:rsid w:val="000F6AA7"/>
    <w:rsid w:val="00117292"/>
    <w:rsid w:val="001207DC"/>
    <w:rsid w:val="00124265"/>
    <w:rsid w:val="00125A2A"/>
    <w:rsid w:val="001328CC"/>
    <w:rsid w:val="0019409F"/>
    <w:rsid w:val="001C3C43"/>
    <w:rsid w:val="001D2097"/>
    <w:rsid w:val="001D490A"/>
    <w:rsid w:val="00203F8B"/>
    <w:rsid w:val="0022231F"/>
    <w:rsid w:val="0023081C"/>
    <w:rsid w:val="002574ED"/>
    <w:rsid w:val="00274B78"/>
    <w:rsid w:val="00294679"/>
    <w:rsid w:val="00296CED"/>
    <w:rsid w:val="002A3F63"/>
    <w:rsid w:val="002C7F9A"/>
    <w:rsid w:val="002D7262"/>
    <w:rsid w:val="002E1FCD"/>
    <w:rsid w:val="002E6597"/>
    <w:rsid w:val="00325500"/>
    <w:rsid w:val="00332F23"/>
    <w:rsid w:val="00334519"/>
    <w:rsid w:val="00365339"/>
    <w:rsid w:val="00381317"/>
    <w:rsid w:val="00383BC2"/>
    <w:rsid w:val="00397032"/>
    <w:rsid w:val="003D2182"/>
    <w:rsid w:val="003D67C1"/>
    <w:rsid w:val="003E7497"/>
    <w:rsid w:val="003F7237"/>
    <w:rsid w:val="0040586A"/>
    <w:rsid w:val="00467982"/>
    <w:rsid w:val="0047578E"/>
    <w:rsid w:val="004C6E6F"/>
    <w:rsid w:val="004D43BB"/>
    <w:rsid w:val="004D45E9"/>
    <w:rsid w:val="0054613C"/>
    <w:rsid w:val="005601F1"/>
    <w:rsid w:val="00570A5D"/>
    <w:rsid w:val="00575E46"/>
    <w:rsid w:val="005867D8"/>
    <w:rsid w:val="005923AD"/>
    <w:rsid w:val="005A3594"/>
    <w:rsid w:val="005B7016"/>
    <w:rsid w:val="005C78A7"/>
    <w:rsid w:val="005E4FF9"/>
    <w:rsid w:val="006045DD"/>
    <w:rsid w:val="00604EB2"/>
    <w:rsid w:val="00606ACC"/>
    <w:rsid w:val="00645493"/>
    <w:rsid w:val="006536AD"/>
    <w:rsid w:val="006614C4"/>
    <w:rsid w:val="00665E8F"/>
    <w:rsid w:val="006A09B9"/>
    <w:rsid w:val="006B3D0B"/>
    <w:rsid w:val="006F0B1B"/>
    <w:rsid w:val="007350F3"/>
    <w:rsid w:val="0074672F"/>
    <w:rsid w:val="00747F7B"/>
    <w:rsid w:val="00760A8D"/>
    <w:rsid w:val="007621E5"/>
    <w:rsid w:val="0079467B"/>
    <w:rsid w:val="007A3DE9"/>
    <w:rsid w:val="007B7975"/>
    <w:rsid w:val="007C2F56"/>
    <w:rsid w:val="007D3B2F"/>
    <w:rsid w:val="007E2066"/>
    <w:rsid w:val="007E226B"/>
    <w:rsid w:val="007F0816"/>
    <w:rsid w:val="007F3E23"/>
    <w:rsid w:val="007F5782"/>
    <w:rsid w:val="007F6D87"/>
    <w:rsid w:val="0082444F"/>
    <w:rsid w:val="008245F9"/>
    <w:rsid w:val="008331D1"/>
    <w:rsid w:val="00834034"/>
    <w:rsid w:val="00867C37"/>
    <w:rsid w:val="00892CAB"/>
    <w:rsid w:val="008A1C49"/>
    <w:rsid w:val="008D774E"/>
    <w:rsid w:val="00901A46"/>
    <w:rsid w:val="00905435"/>
    <w:rsid w:val="00922AEF"/>
    <w:rsid w:val="00934F54"/>
    <w:rsid w:val="009377A2"/>
    <w:rsid w:val="00941693"/>
    <w:rsid w:val="00951BA3"/>
    <w:rsid w:val="00961484"/>
    <w:rsid w:val="009A5A27"/>
    <w:rsid w:val="009D5788"/>
    <w:rsid w:val="00A00E6C"/>
    <w:rsid w:val="00A023C6"/>
    <w:rsid w:val="00A2594D"/>
    <w:rsid w:val="00A36F0F"/>
    <w:rsid w:val="00A426E4"/>
    <w:rsid w:val="00AB11F8"/>
    <w:rsid w:val="00AC3D87"/>
    <w:rsid w:val="00AD0AE0"/>
    <w:rsid w:val="00AD59E7"/>
    <w:rsid w:val="00AD68AB"/>
    <w:rsid w:val="00AF0806"/>
    <w:rsid w:val="00AF7129"/>
    <w:rsid w:val="00B00DB5"/>
    <w:rsid w:val="00B07367"/>
    <w:rsid w:val="00B151E4"/>
    <w:rsid w:val="00B50A29"/>
    <w:rsid w:val="00B94FAC"/>
    <w:rsid w:val="00B9695D"/>
    <w:rsid w:val="00BB0157"/>
    <w:rsid w:val="00BB2AEE"/>
    <w:rsid w:val="00BC5BCA"/>
    <w:rsid w:val="00BC6549"/>
    <w:rsid w:val="00BF5812"/>
    <w:rsid w:val="00BF7CB9"/>
    <w:rsid w:val="00C103CE"/>
    <w:rsid w:val="00C154CA"/>
    <w:rsid w:val="00C21863"/>
    <w:rsid w:val="00C5662B"/>
    <w:rsid w:val="00C80AD6"/>
    <w:rsid w:val="00C81042"/>
    <w:rsid w:val="00C8360E"/>
    <w:rsid w:val="00C929DA"/>
    <w:rsid w:val="00CB4C87"/>
    <w:rsid w:val="00CC4403"/>
    <w:rsid w:val="00CC5CC4"/>
    <w:rsid w:val="00CC7398"/>
    <w:rsid w:val="00CE669E"/>
    <w:rsid w:val="00CF24D6"/>
    <w:rsid w:val="00CF5825"/>
    <w:rsid w:val="00CF7863"/>
    <w:rsid w:val="00D0489A"/>
    <w:rsid w:val="00D0761E"/>
    <w:rsid w:val="00D11FD3"/>
    <w:rsid w:val="00D22980"/>
    <w:rsid w:val="00D22E14"/>
    <w:rsid w:val="00D25C48"/>
    <w:rsid w:val="00D26767"/>
    <w:rsid w:val="00D403F0"/>
    <w:rsid w:val="00D5777C"/>
    <w:rsid w:val="00D64395"/>
    <w:rsid w:val="00D65131"/>
    <w:rsid w:val="00DC6C2D"/>
    <w:rsid w:val="00DD07B8"/>
    <w:rsid w:val="00DF60F1"/>
    <w:rsid w:val="00E00CEF"/>
    <w:rsid w:val="00E0564B"/>
    <w:rsid w:val="00E25854"/>
    <w:rsid w:val="00E34C4B"/>
    <w:rsid w:val="00E4342B"/>
    <w:rsid w:val="00E63FF9"/>
    <w:rsid w:val="00E76F8C"/>
    <w:rsid w:val="00E84338"/>
    <w:rsid w:val="00EC7E4B"/>
    <w:rsid w:val="00F03FF6"/>
    <w:rsid w:val="00F07EA8"/>
    <w:rsid w:val="00F52961"/>
    <w:rsid w:val="00F57971"/>
    <w:rsid w:val="00F64B5A"/>
    <w:rsid w:val="00FB110F"/>
    <w:rsid w:val="00FB690A"/>
    <w:rsid w:val="00FD5986"/>
    <w:rsid w:val="00FF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85942B-2BDD-4C8A-88F7-A36703F4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47578E"/>
    <w:rPr>
      <w:sz w:val="18"/>
      <w:szCs w:val="18"/>
    </w:rPr>
  </w:style>
  <w:style w:type="character" w:customStyle="1" w:styleId="Char">
    <w:name w:val="批注框文本 Char"/>
    <w:basedOn w:val="a0"/>
    <w:link w:val="a4"/>
    <w:uiPriority w:val="99"/>
    <w:semiHidden/>
    <w:rsid w:val="0047578E"/>
    <w:rPr>
      <w:sz w:val="18"/>
      <w:szCs w:val="18"/>
    </w:rPr>
  </w:style>
  <w:style w:type="paragraph" w:styleId="a5">
    <w:name w:val="header"/>
    <w:basedOn w:val="a"/>
    <w:link w:val="Char0"/>
    <w:uiPriority w:val="99"/>
    <w:unhideWhenUsed/>
    <w:rsid w:val="003D21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D2182"/>
    <w:rPr>
      <w:sz w:val="18"/>
      <w:szCs w:val="18"/>
    </w:rPr>
  </w:style>
  <w:style w:type="paragraph" w:styleId="a6">
    <w:name w:val="footer"/>
    <w:basedOn w:val="a"/>
    <w:link w:val="Char1"/>
    <w:uiPriority w:val="99"/>
    <w:unhideWhenUsed/>
    <w:rsid w:val="003D2182"/>
    <w:pPr>
      <w:tabs>
        <w:tab w:val="center" w:pos="4153"/>
        <w:tab w:val="right" w:pos="8306"/>
      </w:tabs>
      <w:snapToGrid w:val="0"/>
      <w:jc w:val="left"/>
    </w:pPr>
    <w:rPr>
      <w:sz w:val="18"/>
      <w:szCs w:val="18"/>
    </w:rPr>
  </w:style>
  <w:style w:type="character" w:customStyle="1" w:styleId="Char1">
    <w:name w:val="页脚 Char"/>
    <w:basedOn w:val="a0"/>
    <w:link w:val="a6"/>
    <w:uiPriority w:val="99"/>
    <w:rsid w:val="003D2182"/>
    <w:rPr>
      <w:sz w:val="18"/>
      <w:szCs w:val="18"/>
    </w:rPr>
  </w:style>
  <w:style w:type="paragraph" w:customStyle="1" w:styleId="-">
    <w:name w:val="图序与图名-博士论文"/>
    <w:basedOn w:val="a7"/>
    <w:qFormat/>
    <w:rsid w:val="00F52961"/>
    <w:pPr>
      <w:spacing w:before="120" w:after="240"/>
      <w:ind w:firstLineChars="0" w:firstLine="0"/>
      <w:jc w:val="center"/>
    </w:pPr>
    <w:rPr>
      <w:rFonts w:ascii="Times New Roman" w:eastAsia="宋体" w:hAnsi="Times New Roman" w:cs="Times New Roman"/>
      <w:sz w:val="22"/>
    </w:rPr>
  </w:style>
  <w:style w:type="paragraph" w:styleId="a7">
    <w:name w:val="List Paragraph"/>
    <w:basedOn w:val="a"/>
    <w:uiPriority w:val="34"/>
    <w:qFormat/>
    <w:rsid w:val="00F529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2529</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guanql</dc:creator>
  <cp:keywords/>
  <dc:description/>
  <cp:lastModifiedBy>Administrator</cp:lastModifiedBy>
  <cp:revision>241</cp:revision>
  <dcterms:created xsi:type="dcterms:W3CDTF">2022-03-21T05:43:00Z</dcterms:created>
  <dcterms:modified xsi:type="dcterms:W3CDTF">2022-04-15T02:00:00Z</dcterms:modified>
</cp:coreProperties>
</file>